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302" w:rsidRPr="00E55880" w:rsidRDefault="00544FC6" w:rsidP="00544FC6">
      <w:pPr>
        <w:pStyle w:val="Corpsdetexte2"/>
        <w:spacing w:line="240" w:lineRule="auto"/>
        <w:ind w:right="53"/>
        <w:rPr>
          <w:rFonts w:eastAsia="Times New Roman"/>
          <w:sz w:val="14"/>
          <w:lang w:val="fr-CH" w:eastAsia="en-US"/>
        </w:rPr>
      </w:pPr>
      <w:r w:rsidRPr="00D514DF">
        <w:rPr>
          <w:rFonts w:ascii="Arial Narrow" w:hAnsi="Arial Narrow"/>
          <w:noProof/>
          <w:color w:val="5B9BD5" w:themeColor="accent1"/>
          <w:lang w:val="fr-FR" w:eastAsia="fr-FR"/>
        </w:rPr>
        <w:drawing>
          <wp:anchor distT="0" distB="0" distL="114300" distR="114300" simplePos="0" relativeHeight="251664384" behindDoc="0" locked="0" layoutInCell="1" allowOverlap="1">
            <wp:simplePos x="0" y="0"/>
            <wp:positionH relativeFrom="column">
              <wp:posOffset>1372870</wp:posOffset>
            </wp:positionH>
            <wp:positionV relativeFrom="paragraph">
              <wp:posOffset>232410</wp:posOffset>
            </wp:positionV>
            <wp:extent cx="2057400" cy="400050"/>
            <wp:effectExtent l="0" t="0" r="0" b="0"/>
            <wp:wrapSquare wrapText="bothSides"/>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9"/>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400050"/>
                    </a:xfrm>
                    <a:prstGeom prst="rect">
                      <a:avLst/>
                    </a:prstGeom>
                    <a:noFill/>
                    <a:ln>
                      <a:noFill/>
                    </a:ln>
                  </pic:spPr>
                </pic:pic>
              </a:graphicData>
            </a:graphic>
          </wp:anchor>
        </w:drawing>
      </w:r>
      <w:r w:rsidRPr="00D514DF">
        <w:rPr>
          <w:rFonts w:ascii="Arial Narrow" w:hAnsi="Arial Narrow"/>
          <w:noProof/>
          <w:color w:val="5B9BD5" w:themeColor="accent1"/>
          <w:lang w:val="fr-FR" w:eastAsia="fr-FR"/>
        </w:rPr>
        <w:drawing>
          <wp:anchor distT="0" distB="0" distL="114300" distR="114300" simplePos="0" relativeHeight="251658240" behindDoc="0" locked="0" layoutInCell="1" allowOverlap="1">
            <wp:simplePos x="0" y="0"/>
            <wp:positionH relativeFrom="column">
              <wp:posOffset>3594100</wp:posOffset>
            </wp:positionH>
            <wp:positionV relativeFrom="paragraph">
              <wp:posOffset>13335</wp:posOffset>
            </wp:positionV>
            <wp:extent cx="521335" cy="563880"/>
            <wp:effectExtent l="0" t="0" r="0" b="762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mith.ma/portail/images/bannier_A.jpg"/>
                    <pic:cNvPicPr>
                      <a:picLocks noChangeAspect="1" noChangeArrowheads="1"/>
                    </pic:cNvPicPr>
                  </pic:nvPicPr>
                  <pic:blipFill rotWithShape="1">
                    <a:blip r:embed="rId9">
                      <a:extLst>
                        <a:ext uri="{28A0092B-C50C-407E-A947-70E740481C1C}">
                          <a14:useLocalDpi xmlns:a14="http://schemas.microsoft.com/office/drawing/2010/main" val="0"/>
                        </a:ext>
                      </a:extLst>
                    </a:blip>
                    <a:srcRect t="9091" b="9739"/>
                    <a:stretch/>
                  </pic:blipFill>
                  <pic:spPr bwMode="auto">
                    <a:xfrm>
                      <a:off x="0" y="0"/>
                      <a:ext cx="521335" cy="563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69A">
        <w:rPr>
          <w:rFonts w:ascii="Arial Narrow" w:hAnsi="Arial Narrow"/>
          <w:noProof/>
          <w:color w:val="5B9BD5" w:themeColor="accent1"/>
          <w:lang w:eastAsia="fr-FR"/>
        </w:rPr>
        <w:t xml:space="preserve">  </w:t>
      </w:r>
      <w:r w:rsidR="00BA6C5B">
        <w:rPr>
          <w:rFonts w:ascii="Arial Narrow" w:hAnsi="Arial Narrow"/>
          <w:noProof/>
          <w:color w:val="5B9BD5" w:themeColor="accent1"/>
          <w:lang w:eastAsia="fr-FR"/>
        </w:rPr>
        <w:t xml:space="preserve"> </w:t>
      </w:r>
      <w:r w:rsidR="00BA24EC">
        <w:rPr>
          <w:rFonts w:ascii="Arial Narrow" w:hAnsi="Arial Narrow"/>
          <w:noProof/>
          <w:color w:val="5B9BD5" w:themeColor="accent1"/>
          <w:lang w:eastAsia="fr-FR"/>
        </w:rPr>
        <w:t xml:space="preserve"> </w:t>
      </w:r>
      <w:r w:rsidR="00BA6C5B">
        <w:rPr>
          <w:rFonts w:ascii="Arial Narrow" w:hAnsi="Arial Narrow"/>
          <w:noProof/>
          <w:color w:val="5B9BD5" w:themeColor="accent1"/>
          <w:lang w:eastAsia="fr-FR"/>
        </w:rPr>
        <w:t xml:space="preserve">  </w:t>
      </w:r>
      <w:bookmarkStart w:id="0" w:name="_GoBack"/>
      <w:bookmarkEnd w:id="0"/>
      <w:r w:rsidR="00C65991">
        <w:rPr>
          <w:rFonts w:ascii="Arial" w:hAnsi="Arial" w:cs="Arial"/>
          <w:b/>
          <w:bCs/>
          <w:iCs/>
          <w:smallCaps/>
          <w:noProof/>
          <w:sz w:val="8"/>
          <w:szCs w:val="8"/>
          <w:lang w:val="fr-FR" w:eastAsia="fr-FR"/>
        </w:rPr>
        <mc:AlternateContent>
          <mc:Choice Requires="wps">
            <w:drawing>
              <wp:anchor distT="0" distB="0" distL="114300" distR="114300" simplePos="0" relativeHeight="251651072" behindDoc="1" locked="0" layoutInCell="1" allowOverlap="1">
                <wp:simplePos x="0" y="0"/>
                <wp:positionH relativeFrom="column">
                  <wp:posOffset>7620</wp:posOffset>
                </wp:positionH>
                <wp:positionV relativeFrom="paragraph">
                  <wp:posOffset>-157117</wp:posOffset>
                </wp:positionV>
                <wp:extent cx="4445000" cy="6428232"/>
                <wp:effectExtent l="0" t="0" r="12700" b="1079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64282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6985" w:type="dxa"/>
                              <w:tblInd w:w="-112" w:type="dxa"/>
                              <w:tblLayout w:type="fixed"/>
                              <w:tblLook w:val="04A0" w:firstRow="1" w:lastRow="0" w:firstColumn="1" w:lastColumn="0" w:noHBand="0" w:noVBand="1"/>
                            </w:tblPr>
                            <w:tblGrid>
                              <w:gridCol w:w="2272"/>
                              <w:gridCol w:w="450"/>
                              <w:gridCol w:w="4263"/>
                            </w:tblGrid>
                            <w:tr w:rsidR="00B4581F" w:rsidRPr="00E55880" w:rsidTr="00777126">
                              <w:tc>
                                <w:tcPr>
                                  <w:tcW w:w="2272" w:type="dxa"/>
                                  <w:tcMar>
                                    <w:left w:w="0" w:type="dxa"/>
                                    <w:right w:w="0" w:type="dxa"/>
                                  </w:tcMar>
                                </w:tcPr>
                                <w:p w:rsidR="00B4581F" w:rsidRPr="00777126" w:rsidRDefault="00B4581F" w:rsidP="00C23D42">
                                  <w:pPr>
                                    <w:ind w:right="53"/>
                                    <w:rPr>
                                      <w:noProof/>
                                      <w:sz w:val="2"/>
                                      <w:szCs w:val="2"/>
                                      <w:lang w:eastAsia="en-US"/>
                                    </w:rPr>
                                  </w:pPr>
                                </w:p>
                              </w:tc>
                              <w:tc>
                                <w:tcPr>
                                  <w:tcW w:w="450" w:type="dxa"/>
                                </w:tcPr>
                                <w:p w:rsidR="00B4581F" w:rsidRPr="00777126" w:rsidRDefault="00B4581F" w:rsidP="00C23D42">
                                  <w:pPr>
                                    <w:ind w:right="53"/>
                                    <w:jc w:val="center"/>
                                    <w:rPr>
                                      <w:noProof/>
                                      <w:sz w:val="2"/>
                                      <w:szCs w:val="2"/>
                                      <w:lang w:eastAsia="en-US"/>
                                    </w:rPr>
                                  </w:pPr>
                                </w:p>
                              </w:tc>
                              <w:tc>
                                <w:tcPr>
                                  <w:tcW w:w="4263" w:type="dxa"/>
                                </w:tcPr>
                                <w:p w:rsidR="00B4581F" w:rsidRPr="00777126" w:rsidRDefault="00B4581F" w:rsidP="00C23D42">
                                  <w:pPr>
                                    <w:ind w:left="-250" w:right="53"/>
                                    <w:rPr>
                                      <w:b/>
                                      <w:smallCaps/>
                                      <w:noProof/>
                                      <w:sz w:val="2"/>
                                      <w:szCs w:val="2"/>
                                      <w:lang w:eastAsia="en-US"/>
                                    </w:rPr>
                                  </w:pPr>
                                </w:p>
                              </w:tc>
                            </w:tr>
                          </w:tbl>
                          <w:p w:rsidR="00BA24EC" w:rsidRPr="00BA24EC" w:rsidRDefault="00BA24EC" w:rsidP="00BA24EC">
                            <w:pPr>
                              <w:rPr>
                                <w:rFonts w:ascii="Arial Narrow" w:hAnsi="Arial Narrow"/>
                                <w:color w:val="5B9BD5" w:themeColor="accent1"/>
                                <w:lang w:val="fr-FR"/>
                              </w:rPr>
                            </w:pPr>
                            <w:r w:rsidRPr="00BA24EC">
                              <w:rPr>
                                <w:rFonts w:ascii="Arial Narrow" w:hAnsi="Arial Narrow"/>
                                <w:color w:val="5B9BD5" w:themeColor="accent1"/>
                                <w:lang w:val="fr-FR"/>
                              </w:rPr>
                              <w:t xml:space="preserve">                                               </w:t>
                            </w:r>
                          </w:p>
                          <w:p w:rsidR="00BA24EC" w:rsidRPr="00BA24EC" w:rsidRDefault="00BA24EC" w:rsidP="00BA24EC">
                            <w:pPr>
                              <w:rPr>
                                <w:rFonts w:ascii="Arial Narrow" w:hAnsi="Arial Narrow"/>
                                <w:color w:val="5B9BD5" w:themeColor="accent1"/>
                                <w:lang w:val="fr-FR"/>
                              </w:rPr>
                            </w:pPr>
                          </w:p>
                          <w:p w:rsidR="00BA24EC" w:rsidRPr="00BA24EC" w:rsidRDefault="00544FC6" w:rsidP="00544FC6">
                            <w:pPr>
                              <w:rPr>
                                <w:rFonts w:ascii="Arial Narrow" w:hAnsi="Arial Narrow"/>
                                <w:color w:val="5B9BD5" w:themeColor="accent1"/>
                                <w:lang w:val="fr-FR"/>
                              </w:rPr>
                            </w:pPr>
                            <w:r w:rsidRPr="00D514DF">
                              <w:rPr>
                                <w:rFonts w:ascii="Arial Narrow" w:hAnsi="Arial Narrow"/>
                                <w:noProof/>
                                <w:color w:val="5B9BD5" w:themeColor="accent1"/>
                                <w:lang w:val="fr-FR" w:eastAsia="fr-FR"/>
                              </w:rPr>
                              <w:drawing>
                                <wp:inline distT="0" distB="0" distL="0" distR="0" wp14:anchorId="33D98F31" wp14:editId="3C57205F">
                                  <wp:extent cx="1104900" cy="46863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C_logo_F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468630"/>
                                          </a:xfrm>
                                          <a:prstGeom prst="rect">
                                            <a:avLst/>
                                          </a:prstGeom>
                                        </pic:spPr>
                                      </pic:pic>
                                    </a:graphicData>
                                  </a:graphic>
                                </wp:inline>
                              </w:drawing>
                            </w:r>
                            <w:r w:rsidR="00BA24EC" w:rsidRPr="00BA24EC">
                              <w:rPr>
                                <w:rFonts w:ascii="Arial Narrow" w:hAnsi="Arial Narrow"/>
                                <w:color w:val="5B9BD5" w:themeColor="accent1"/>
                                <w:lang w:val="fr-FR"/>
                              </w:rPr>
                              <w:t xml:space="preserve">                                                         </w:t>
                            </w:r>
                          </w:p>
                          <w:p w:rsidR="00BA24EC" w:rsidRPr="00BA24EC" w:rsidRDefault="00BA24EC" w:rsidP="00BA24EC">
                            <w:pPr>
                              <w:rPr>
                                <w:rFonts w:ascii="Arial Narrow" w:hAnsi="Arial Narrow"/>
                                <w:color w:val="5B9BD5" w:themeColor="accent1"/>
                                <w:lang w:val="fr-FR"/>
                              </w:rPr>
                            </w:pPr>
                          </w:p>
                          <w:p w:rsidR="006A4A9B" w:rsidRPr="00BB4558" w:rsidRDefault="00E93A43" w:rsidP="00E93A43">
                            <w:pPr>
                              <w:rPr>
                                <w:rFonts w:ascii="Arial Narrow" w:hAnsi="Arial Narrow" w:cs="Arial"/>
                                <w:b/>
                                <w:color w:val="4472C4" w:themeColor="accent5"/>
                                <w:sz w:val="22"/>
                                <w:szCs w:val="22"/>
                                <w:lang w:val="fr-FR"/>
                              </w:rPr>
                            </w:pPr>
                            <w:r>
                              <w:rPr>
                                <w:rFonts w:ascii="Arial Narrow" w:hAnsi="Arial Narrow" w:cs="Arial"/>
                                <w:b/>
                                <w:color w:val="5B9BD5" w:themeColor="accent1"/>
                                <w:sz w:val="20"/>
                                <w:szCs w:val="20"/>
                                <w:lang w:val="fr-FR"/>
                              </w:rPr>
                              <w:t xml:space="preserve">                  </w:t>
                            </w:r>
                            <w:r w:rsidR="0033169A" w:rsidRPr="00BB4558">
                              <w:rPr>
                                <w:rFonts w:ascii="Arial Narrow" w:hAnsi="Arial Narrow" w:cs="Arial"/>
                                <w:b/>
                                <w:color w:val="4472C4" w:themeColor="accent5"/>
                                <w:sz w:val="22"/>
                                <w:szCs w:val="22"/>
                                <w:lang w:val="fr-FR"/>
                              </w:rPr>
                              <w:t>Appel à Candidatures aux Entreprises Marocaines</w:t>
                            </w:r>
                          </w:p>
                          <w:p w:rsidR="0033169A" w:rsidRPr="00BB4558" w:rsidRDefault="0033169A" w:rsidP="006A4A9B">
                            <w:pPr>
                              <w:jc w:val="center"/>
                              <w:rPr>
                                <w:rFonts w:ascii="Arial Narrow" w:hAnsi="Arial Narrow" w:cs="Arial"/>
                                <w:b/>
                                <w:color w:val="4472C4" w:themeColor="accent5"/>
                                <w:sz w:val="22"/>
                                <w:szCs w:val="22"/>
                                <w:lang w:val="fr-FR"/>
                              </w:rPr>
                            </w:pPr>
                            <w:r w:rsidRPr="00BB4558">
                              <w:rPr>
                                <w:rFonts w:ascii="Arial Narrow" w:hAnsi="Arial Narrow" w:cs="Arial"/>
                                <w:b/>
                                <w:color w:val="4472C4" w:themeColor="accent5"/>
                                <w:sz w:val="18"/>
                                <w:szCs w:val="18"/>
                                <w:lang w:val="fr-FR"/>
                              </w:rPr>
                              <w:t>RENFORCER LA COMPÉTITIVITÉ À L’EXPORTATION DU SECTEUR TEXTILE ET                HABILLEMENT</w:t>
                            </w:r>
                          </w:p>
                          <w:p w:rsidR="0033169A" w:rsidRPr="00BB4558" w:rsidRDefault="0033169A" w:rsidP="0033169A">
                            <w:pPr>
                              <w:jc w:val="center"/>
                              <w:rPr>
                                <w:rFonts w:ascii="Arial Narrow" w:hAnsi="Arial Narrow" w:cs="Arial"/>
                                <w:b/>
                                <w:color w:val="4472C4" w:themeColor="accent5"/>
                                <w:sz w:val="18"/>
                                <w:szCs w:val="18"/>
                                <w:lang w:val="fr-FR"/>
                              </w:rPr>
                            </w:pPr>
                            <w:r w:rsidRPr="00BB4558">
                              <w:rPr>
                                <w:rFonts w:ascii="Arial Narrow" w:hAnsi="Arial Narrow" w:cs="Arial"/>
                                <w:b/>
                                <w:color w:val="4472C4" w:themeColor="accent5"/>
                                <w:sz w:val="18"/>
                                <w:szCs w:val="18"/>
                                <w:lang w:val="fr-FR"/>
                              </w:rPr>
                              <w:t>Projet GTEX / MENATEX MAROC</w:t>
                            </w:r>
                          </w:p>
                          <w:p w:rsidR="00BB4558" w:rsidRPr="00BB4558" w:rsidRDefault="00BB4558" w:rsidP="0033169A">
                            <w:pPr>
                              <w:jc w:val="center"/>
                              <w:rPr>
                                <w:rFonts w:ascii="Arial Narrow" w:hAnsi="Arial Narrow" w:cs="Arial"/>
                                <w:b/>
                                <w:color w:val="4472C4" w:themeColor="accent5"/>
                                <w:sz w:val="28"/>
                                <w:szCs w:val="28"/>
                                <w:lang w:val="fr-FR"/>
                              </w:rPr>
                            </w:pPr>
                            <w:r w:rsidRPr="00BB4558">
                              <w:rPr>
                                <w:rFonts w:ascii="Calibri" w:hAnsi="Calibri" w:cs="Calibri"/>
                                <w:b/>
                                <w:color w:val="4472C4" w:themeColor="accent5"/>
                                <w:sz w:val="28"/>
                                <w:szCs w:val="28"/>
                                <w:shd w:val="clear" w:color="auto" w:fill="FFFFFF"/>
                                <w:lang w:val="fr-FR"/>
                              </w:rPr>
                              <w:t>Prolongation du délai de réception des candidatures</w:t>
                            </w:r>
                            <w:r w:rsidRPr="00BB4558">
                              <w:rPr>
                                <w:rFonts w:ascii="Calibri" w:hAnsi="Calibri" w:cs="Calibri"/>
                                <w:color w:val="4472C4" w:themeColor="accent5"/>
                                <w:sz w:val="28"/>
                                <w:szCs w:val="28"/>
                                <w:shd w:val="clear" w:color="auto" w:fill="FFFFFF"/>
                                <w:lang w:val="fr-FR"/>
                              </w:rPr>
                              <w:t> </w:t>
                            </w:r>
                          </w:p>
                          <w:p w:rsidR="0033169A" w:rsidRPr="0033169A" w:rsidRDefault="0033169A" w:rsidP="0033169A">
                            <w:pPr>
                              <w:jc w:val="center"/>
                              <w:rPr>
                                <w:rFonts w:ascii="Arial Narrow" w:hAnsi="Arial Narrow" w:cs="Arial"/>
                                <w:b/>
                                <w:color w:val="5B9BD5" w:themeColor="accent1"/>
                                <w:sz w:val="18"/>
                                <w:szCs w:val="18"/>
                                <w:lang w:val="fr-FR"/>
                              </w:rPr>
                            </w:pP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 Centre du Commerce International (ITC), le Ministère de l’Industrie, </w:t>
                            </w:r>
                            <w:r w:rsidRPr="0033169A">
                              <w:rPr>
                                <w:rFonts w:ascii="Arial Narrow" w:hAnsi="Arial Narrow" w:cs="Arial"/>
                                <w:color w:val="000000" w:themeColor="text1"/>
                                <w:sz w:val="18"/>
                                <w:szCs w:val="18"/>
                                <w:lang w:val="fr-CH"/>
                              </w:rPr>
                              <w:t xml:space="preserve">de l’Investissement, </w:t>
                            </w:r>
                            <w:r w:rsidRPr="0033169A">
                              <w:rPr>
                                <w:rFonts w:ascii="Arial Narrow" w:hAnsi="Arial Narrow" w:cs="Arial"/>
                                <w:sz w:val="18"/>
                                <w:szCs w:val="18"/>
                                <w:lang w:val="fr-FR"/>
                              </w:rPr>
                              <w:t xml:space="preserve">du Commerce, et de l’Economie Numérique (MIICEN) et l’Association Marocaine des Industries du Textile et de l’habillement (AMITH) mettent en œuvre le Projet </w:t>
                            </w:r>
                            <w:r w:rsidRPr="0033169A">
                              <w:rPr>
                                <w:rFonts w:ascii="Arial Narrow" w:hAnsi="Arial Narrow" w:cs="Arial"/>
                                <w:b/>
                                <w:sz w:val="18"/>
                                <w:szCs w:val="18"/>
                                <w:lang w:val="fr-FR"/>
                              </w:rPr>
                              <w:t>GTEX / MENATEX Maroc</w:t>
                            </w:r>
                            <w:r w:rsidRPr="0033169A">
                              <w:rPr>
                                <w:rFonts w:ascii="Arial Narrow" w:hAnsi="Arial Narrow" w:cs="Arial"/>
                                <w:sz w:val="18"/>
                                <w:szCs w:val="18"/>
                                <w:lang w:val="fr-FR"/>
                              </w:rPr>
                              <w:t>, sur une période de 3 ans (Novembre 2018 à Décembre 2021). Le projet est financé par les Gouvernements Suisse, Suédois et Marocain.</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Il s’agit d’un projet d’assistance technique qui vise à  soutenir le secteur du </w:t>
                            </w:r>
                            <w:r w:rsidRPr="0033169A">
                              <w:rPr>
                                <w:rFonts w:ascii="Arial Narrow" w:hAnsi="Arial Narrow" w:cs="Arial"/>
                                <w:b/>
                                <w:sz w:val="18"/>
                                <w:szCs w:val="18"/>
                                <w:lang w:val="fr-FR"/>
                              </w:rPr>
                              <w:t>textile et de l'habillement</w:t>
                            </w:r>
                            <w:r w:rsidRPr="0033169A">
                              <w:rPr>
                                <w:rFonts w:ascii="Arial Narrow" w:hAnsi="Arial Narrow" w:cs="Arial"/>
                                <w:sz w:val="18"/>
                                <w:szCs w:val="18"/>
                                <w:lang w:val="fr-FR"/>
                              </w:rPr>
                              <w:t xml:space="preserve"> afin de renforcer et améliorer sa chaîne de valeur et diversifier son offre de produits,  consolider les marchés existants et accéder à de nouveaux marchés tout en optimisant les services proposés par les Institutions d’appui au commerce (IAC) du secteur.</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Des institutions marocaines d’appui aux entreprises du secteur textile et habillement sont partenaires du projet notamment l’AMDIE, MAROC PME, l’ESITH, le CTTH et CASA MODA.</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 projet assistera - dans une première phase - 25 petites et moyennes entreprises opérant dans  le </w:t>
                            </w:r>
                            <w:r w:rsidRPr="0033169A">
                              <w:rPr>
                                <w:rFonts w:ascii="Arial Narrow" w:hAnsi="Arial Narrow" w:cs="Arial"/>
                                <w:b/>
                                <w:sz w:val="18"/>
                                <w:szCs w:val="18"/>
                                <w:lang w:val="fr-FR"/>
                              </w:rPr>
                              <w:t>« fast fashion»,  le denim  ou la maille</w:t>
                            </w:r>
                            <w:r w:rsidRPr="0033169A">
                              <w:rPr>
                                <w:rFonts w:ascii="Arial Narrow" w:hAnsi="Arial Narrow" w:cs="Arial"/>
                                <w:sz w:val="18"/>
                                <w:szCs w:val="18"/>
                                <w:lang w:val="fr-FR"/>
                              </w:rPr>
                              <w:t xml:space="preserve">. Cet appel à candidature s’adresse également aux entreprises opérant dans le </w:t>
                            </w:r>
                            <w:r w:rsidRPr="0033169A">
                              <w:rPr>
                                <w:rFonts w:ascii="Arial Narrow" w:hAnsi="Arial Narrow" w:cs="Arial"/>
                                <w:b/>
                                <w:sz w:val="18"/>
                                <w:szCs w:val="18"/>
                                <w:lang w:val="fr-FR"/>
                              </w:rPr>
                              <w:t>linge de maison et le textile technique</w:t>
                            </w:r>
                            <w:r w:rsidRPr="0033169A">
                              <w:rPr>
                                <w:rFonts w:ascii="Arial Narrow" w:hAnsi="Arial Narrow" w:cs="Arial"/>
                                <w:sz w:val="18"/>
                                <w:szCs w:val="18"/>
                                <w:lang w:val="fr-FR"/>
                              </w:rPr>
                              <w:t>. Celles-ci seront intégrées dans une deuxième phase du projet.</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Les entreprises participantes seront en mesure d'accroître leur compétitivité internationale et de diversifier leur base d'exportation. Ceci sera réalisé notamment par le biais de formation, coaching et mentorat dans des domaines à valeur ajoutée tels que les approvisionnements, le marketing à l’export, les stratégies de marque mais aussi la conformité aux normes sociales et environnementales requises par les acheteurs. Le projet permettra aussi une connexion des entreprises à de nouveaux marchés et à de nouveaux acheteurs potentiels. </w:t>
                            </w:r>
                          </w:p>
                          <w:p w:rsidR="0033169A" w:rsidRPr="0033169A" w:rsidRDefault="0033169A" w:rsidP="0033169A">
                            <w:pPr>
                              <w:rPr>
                                <w:rFonts w:ascii="Arial Narrow" w:eastAsia="Times New Roman" w:hAnsi="Arial Narrow" w:cs="Arial"/>
                                <w:sz w:val="18"/>
                                <w:szCs w:val="18"/>
                                <w:lang w:val="fr-FR" w:eastAsia="fr-FR"/>
                              </w:rPr>
                            </w:pPr>
                            <w:r w:rsidRPr="0033169A">
                              <w:rPr>
                                <w:rFonts w:ascii="Arial Narrow" w:eastAsia="Times New Roman" w:hAnsi="Arial Narrow" w:cs="Arial"/>
                                <w:sz w:val="18"/>
                                <w:szCs w:val="18"/>
                                <w:lang w:val="fr-FR" w:eastAsia="fr-FR"/>
                              </w:rPr>
                              <w:t>Les entreprises intéressées sont invitées à manifester leur intérêt et à remplir le formulaire d’inscription disponible sur le site du Ministère de l’Industrie, de l’Investissement, du Commerce et de l’Economie Numérique </w:t>
                            </w:r>
                            <w:r w:rsidRPr="0033169A">
                              <w:rPr>
                                <w:rFonts w:ascii="Arial Narrow" w:eastAsia="Times New Roman" w:hAnsi="Arial Narrow" w:cs="Arial"/>
                                <w:b/>
                                <w:sz w:val="18"/>
                                <w:szCs w:val="18"/>
                                <w:u w:val="single"/>
                                <w:lang w:val="fr-FR" w:eastAsia="fr-FR"/>
                              </w:rPr>
                              <w:t>www.mcinet.gov.ma</w:t>
                            </w:r>
                            <w:r w:rsidRPr="0033169A">
                              <w:rPr>
                                <w:rFonts w:ascii="Arial Narrow" w:eastAsia="Times New Roman" w:hAnsi="Arial Narrow" w:cs="Arial"/>
                                <w:sz w:val="18"/>
                                <w:szCs w:val="18"/>
                                <w:lang w:val="fr-FR" w:eastAsia="fr-FR"/>
                              </w:rPr>
                              <w:t xml:space="preserve">  et de l’Association Marocaine des Industries du Textile et de l’Habillement </w:t>
                            </w:r>
                            <w:r w:rsidRPr="0033169A">
                              <w:rPr>
                                <w:rFonts w:ascii="Arial Narrow" w:eastAsia="Times New Roman" w:hAnsi="Arial Narrow" w:cs="Arial"/>
                                <w:b/>
                                <w:sz w:val="18"/>
                                <w:szCs w:val="18"/>
                                <w:u w:val="single"/>
                                <w:lang w:val="fr-FR" w:eastAsia="fr-FR"/>
                              </w:rPr>
                              <w:t>www.amith.ma</w:t>
                            </w:r>
                            <w:r w:rsidRPr="0033169A">
                              <w:rPr>
                                <w:rFonts w:ascii="Arial Narrow" w:eastAsia="Times New Roman" w:hAnsi="Arial Narrow" w:cs="Arial"/>
                                <w:sz w:val="18"/>
                                <w:szCs w:val="18"/>
                                <w:lang w:val="fr-FR" w:eastAsia="fr-FR"/>
                              </w:rPr>
                              <w:t xml:space="preserve"> et l’envoyer par e-mail à : </w:t>
                            </w:r>
                            <w:hyperlink r:id="rId11" w:tgtFrame="_blank" w:history="1">
                              <w:r w:rsidRPr="0033169A">
                                <w:rPr>
                                  <w:rStyle w:val="Lienhypertexte"/>
                                  <w:rFonts w:ascii="Arial Narrow" w:hAnsi="Arial Narrow" w:cs="Arial"/>
                                  <w:sz w:val="18"/>
                                  <w:szCs w:val="18"/>
                                  <w:shd w:val="clear" w:color="auto" w:fill="FFFFFF"/>
                                  <w:lang w:val="fr-FR"/>
                                </w:rPr>
                                <w:t>gtex-maroc@intracen.org</w:t>
                              </w:r>
                            </w:hyperlink>
                            <w:r w:rsidRPr="0033169A">
                              <w:rPr>
                                <w:rStyle w:val="Lienhypertexte"/>
                                <w:rFonts w:ascii="Arial Narrow" w:hAnsi="Arial Narrow" w:cs="Arial"/>
                                <w:sz w:val="18"/>
                                <w:szCs w:val="18"/>
                                <w:shd w:val="clear" w:color="auto" w:fill="FFFFFF"/>
                                <w:lang w:val="fr-FR"/>
                              </w:rPr>
                              <w:t xml:space="preserve"> </w:t>
                            </w:r>
                            <w:r w:rsidRPr="0033169A">
                              <w:rPr>
                                <w:rFonts w:ascii="Arial Narrow" w:eastAsia="Times New Roman" w:hAnsi="Arial Narrow" w:cs="Arial"/>
                                <w:sz w:val="18"/>
                                <w:szCs w:val="18"/>
                                <w:lang w:val="fr-FR" w:eastAsia="fr-FR"/>
                              </w:rPr>
                              <w:t xml:space="preserve">au plus tard le </w:t>
                            </w:r>
                            <w:r w:rsidR="00BB4558" w:rsidRPr="00BB4558">
                              <w:rPr>
                                <w:rFonts w:ascii="Arial Narrow" w:eastAsia="Times New Roman" w:hAnsi="Arial Narrow" w:cs="Arial"/>
                                <w:b/>
                                <w:sz w:val="18"/>
                                <w:szCs w:val="18"/>
                                <w:lang w:val="fr-FR" w:eastAsia="fr-FR"/>
                              </w:rPr>
                              <w:t xml:space="preserve">25 </w:t>
                            </w:r>
                            <w:r w:rsidRPr="00BB4558">
                              <w:rPr>
                                <w:rFonts w:ascii="Arial Narrow" w:eastAsia="Times New Roman" w:hAnsi="Arial Narrow" w:cs="Arial"/>
                                <w:b/>
                                <w:sz w:val="18"/>
                                <w:szCs w:val="18"/>
                                <w:lang w:val="fr-FR" w:eastAsia="fr-FR"/>
                              </w:rPr>
                              <w:t>Janvier 2019.</w:t>
                            </w:r>
                            <w:r w:rsidRPr="0033169A">
                              <w:rPr>
                                <w:rFonts w:ascii="Arial Narrow" w:eastAsia="Times New Roman" w:hAnsi="Arial Narrow" w:cs="Arial"/>
                                <w:sz w:val="18"/>
                                <w:szCs w:val="18"/>
                                <w:lang w:val="fr-FR" w:eastAsia="fr-FR"/>
                              </w:rPr>
                              <w:t xml:space="preserve"> </w:t>
                            </w:r>
                          </w:p>
                          <w:p w:rsidR="0033169A" w:rsidRPr="0033169A" w:rsidRDefault="0033169A" w:rsidP="0033169A">
                            <w:pPr>
                              <w:shd w:val="clear" w:color="auto" w:fill="FFFFFF"/>
                              <w:jc w:val="both"/>
                              <w:rPr>
                                <w:rFonts w:ascii="Arial Narrow" w:eastAsia="Times New Roman" w:hAnsi="Arial Narrow" w:cs="Arial"/>
                                <w:sz w:val="18"/>
                                <w:szCs w:val="18"/>
                                <w:lang w:val="fr-FR" w:eastAsia="fr-FR"/>
                              </w:rPr>
                            </w:pPr>
                            <w:r w:rsidRPr="0033169A">
                              <w:rPr>
                                <w:rFonts w:ascii="Arial Narrow" w:eastAsia="Times New Roman" w:hAnsi="Arial Narrow" w:cs="Arial"/>
                                <w:sz w:val="18"/>
                                <w:szCs w:val="18"/>
                                <w:lang w:val="fr-FR" w:eastAsia="fr-FR"/>
                              </w:rPr>
                              <w:t xml:space="preserve">La sélection des entreprises sera effectuée par un comité constitué à cet effet. </w:t>
                            </w:r>
                          </w:p>
                          <w:p w:rsidR="0033169A" w:rsidRDefault="0033169A" w:rsidP="0033169A">
                            <w:pPr>
                              <w:shd w:val="clear" w:color="auto" w:fill="FFFFFF"/>
                              <w:jc w:val="both"/>
                              <w:rPr>
                                <w:rStyle w:val="Lienhypertexte"/>
                                <w:rFonts w:ascii="Arial Narrow" w:hAnsi="Arial Narrow" w:cs="Arial"/>
                                <w:sz w:val="18"/>
                                <w:szCs w:val="18"/>
                                <w:shd w:val="clear" w:color="auto" w:fill="FFFFFF"/>
                                <w:lang w:val="fr-FR"/>
                              </w:rPr>
                            </w:pPr>
                            <w:r w:rsidRPr="0033169A">
                              <w:rPr>
                                <w:rFonts w:ascii="Arial Narrow" w:eastAsia="Times New Roman" w:hAnsi="Arial Narrow" w:cs="Arial"/>
                                <w:sz w:val="18"/>
                                <w:szCs w:val="18"/>
                                <w:lang w:val="fr-FR" w:eastAsia="fr-FR"/>
                              </w:rPr>
                              <w:t xml:space="preserve">Pour toute question concernant cet appel à candidature, veuillez adresser votre message à l’adresse email suivante : </w:t>
                            </w:r>
                            <w:hyperlink r:id="rId12" w:tgtFrame="_blank" w:history="1">
                              <w:r w:rsidRPr="0033169A">
                                <w:rPr>
                                  <w:rStyle w:val="Lienhypertexte"/>
                                  <w:rFonts w:ascii="Arial Narrow" w:hAnsi="Arial Narrow" w:cs="Arial"/>
                                  <w:sz w:val="18"/>
                                  <w:szCs w:val="18"/>
                                  <w:shd w:val="clear" w:color="auto" w:fill="FFFFFF"/>
                                  <w:lang w:val="fr-FR"/>
                                </w:rPr>
                                <w:t>gtex-maroc@intracen.org</w:t>
                              </w:r>
                            </w:hyperlink>
                          </w:p>
                          <w:p w:rsidR="00544FC6" w:rsidRPr="0033169A" w:rsidRDefault="00544FC6" w:rsidP="0033169A">
                            <w:pPr>
                              <w:shd w:val="clear" w:color="auto" w:fill="FFFFFF"/>
                              <w:jc w:val="both"/>
                              <w:rPr>
                                <w:rFonts w:ascii="Arial Narrow" w:eastAsia="Times New Roman" w:hAnsi="Arial Narrow" w:cs="Arial"/>
                                <w:sz w:val="18"/>
                                <w:szCs w:val="18"/>
                                <w:lang w:val="fr-FR" w:eastAsia="fr-FR"/>
                              </w:rPr>
                            </w:pPr>
                          </w:p>
                          <w:p w:rsidR="00BA24EC" w:rsidRPr="0033169A" w:rsidRDefault="00BA24EC" w:rsidP="00544FC6">
                            <w:pPr>
                              <w:jc w:val="center"/>
                              <w:rPr>
                                <w:rFonts w:ascii="Arial Narrow" w:hAnsi="Arial Narrow"/>
                                <w:sz w:val="18"/>
                                <w:szCs w:val="18"/>
                              </w:rPr>
                            </w:pPr>
                            <w:r w:rsidRPr="0033169A">
                              <w:rPr>
                                <w:rFonts w:ascii="Arial" w:hAnsi="Arial" w:cs="Arial"/>
                                <w:caps/>
                                <w:noProof/>
                                <w:color w:val="2E74B5" w:themeColor="accent1" w:themeShade="BF"/>
                                <w:sz w:val="18"/>
                                <w:szCs w:val="18"/>
                                <w:lang w:val="fr-FR" w:eastAsia="fr-FR"/>
                              </w:rPr>
                              <w:drawing>
                                <wp:inline distT="0" distB="0" distL="0" distR="0">
                                  <wp:extent cx="1181100" cy="399576"/>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e.Noucair\Desktop\logo suè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856" cy="420468"/>
                                          </a:xfrm>
                                          <a:prstGeom prst="rect">
                                            <a:avLst/>
                                          </a:prstGeom>
                                          <a:noFill/>
                                          <a:ln>
                                            <a:noFill/>
                                          </a:ln>
                                        </pic:spPr>
                                      </pic:pic>
                                    </a:graphicData>
                                  </a:graphic>
                                </wp:inline>
                              </w:drawing>
                            </w:r>
                            <w:r w:rsidRPr="0033169A">
                              <w:rPr>
                                <w:rFonts w:ascii="Arial Narrow" w:hAnsi="Arial Narrow"/>
                                <w:noProof/>
                                <w:color w:val="5B9BD5" w:themeColor="accent1"/>
                                <w:sz w:val="18"/>
                                <w:szCs w:val="18"/>
                                <w:lang w:val="fr-FR" w:eastAsia="fr-FR"/>
                              </w:rPr>
                              <w:drawing>
                                <wp:inline distT="0" distB="0" distL="0" distR="0">
                                  <wp:extent cx="1190625" cy="42118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519" cy="445553"/>
                                          </a:xfrm>
                                          <a:prstGeom prst="rect">
                                            <a:avLst/>
                                          </a:prstGeom>
                                          <a:noFill/>
                                        </pic:spPr>
                                      </pic:pic>
                                    </a:graphicData>
                                  </a:graphic>
                                </wp:inline>
                              </w:drawing>
                            </w:r>
                          </w:p>
                          <w:p w:rsidR="00B4581F" w:rsidRPr="00CA352C" w:rsidRDefault="00B4581F" w:rsidP="00B4581F">
                            <w:pPr>
                              <w:ind w:right="53"/>
                              <w:rPr>
                                <w:rFonts w:eastAsia="Times New Roman"/>
                                <w:lang w:val="fr-CH" w:eastAsia="en-US"/>
                              </w:rPr>
                            </w:pPr>
                          </w:p>
                          <w:p w:rsidR="00B4581F" w:rsidRPr="00B4581F" w:rsidRDefault="00B4581F">
                            <w:pPr>
                              <w:rPr>
                                <w:lang w:val="fr-CH"/>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pt;margin-top:-12.35pt;width:350pt;height:50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" filled="f">
                <v:textbox inset=",0,,0">
                  <w:txbxContent>
                    <w:tbl>
                      <w:tblPr>
                        <w:tblW w:w="6985" w:type="dxa"/>
                        <w:tblInd w:w="-112" w:type="dxa"/>
                        <w:tblLayout w:type="fixed"/>
                        <w:tblLook w:val="04A0" w:firstRow="1" w:lastRow="0" w:firstColumn="1" w:lastColumn="0" w:noHBand="0" w:noVBand="1"/>
                      </w:tblPr>
                      <w:tblGrid>
                        <w:gridCol w:w="2272"/>
                        <w:gridCol w:w="450"/>
                        <w:gridCol w:w="4263"/>
                      </w:tblGrid>
                      <w:tr w:rsidR="00B4581F" w:rsidRPr="00E55880" w:rsidTr="00777126">
                        <w:tc>
                          <w:tcPr>
                            <w:tcW w:w="2272" w:type="dxa"/>
                            <w:tcMar>
                              <w:left w:w="0" w:type="dxa"/>
                              <w:right w:w="0" w:type="dxa"/>
                            </w:tcMar>
                          </w:tcPr>
                          <w:p w:rsidR="00B4581F" w:rsidRPr="00777126" w:rsidRDefault="00B4581F" w:rsidP="00C23D42">
                            <w:pPr>
                              <w:ind w:right="53"/>
                              <w:rPr>
                                <w:noProof/>
                                <w:sz w:val="2"/>
                                <w:szCs w:val="2"/>
                                <w:lang w:eastAsia="en-US"/>
                              </w:rPr>
                            </w:pPr>
                          </w:p>
                        </w:tc>
                        <w:tc>
                          <w:tcPr>
                            <w:tcW w:w="450" w:type="dxa"/>
                          </w:tcPr>
                          <w:p w:rsidR="00B4581F" w:rsidRPr="00777126" w:rsidRDefault="00B4581F" w:rsidP="00C23D42">
                            <w:pPr>
                              <w:ind w:right="53"/>
                              <w:jc w:val="center"/>
                              <w:rPr>
                                <w:noProof/>
                                <w:sz w:val="2"/>
                                <w:szCs w:val="2"/>
                                <w:lang w:eastAsia="en-US"/>
                              </w:rPr>
                            </w:pPr>
                          </w:p>
                        </w:tc>
                        <w:tc>
                          <w:tcPr>
                            <w:tcW w:w="4263" w:type="dxa"/>
                          </w:tcPr>
                          <w:p w:rsidR="00B4581F" w:rsidRPr="00777126" w:rsidRDefault="00B4581F" w:rsidP="00C23D42">
                            <w:pPr>
                              <w:ind w:left="-250" w:right="53"/>
                              <w:rPr>
                                <w:b/>
                                <w:smallCaps/>
                                <w:noProof/>
                                <w:sz w:val="2"/>
                                <w:szCs w:val="2"/>
                                <w:lang w:eastAsia="en-US"/>
                              </w:rPr>
                            </w:pPr>
                          </w:p>
                        </w:tc>
                      </w:tr>
                    </w:tbl>
                    <w:p w:rsidR="00BA24EC" w:rsidRPr="00BA24EC" w:rsidRDefault="00BA24EC" w:rsidP="00BA24EC">
                      <w:pPr>
                        <w:rPr>
                          <w:rFonts w:ascii="Arial Narrow" w:hAnsi="Arial Narrow"/>
                          <w:color w:val="5B9BD5" w:themeColor="accent1"/>
                          <w:lang w:val="fr-FR"/>
                        </w:rPr>
                      </w:pPr>
                      <w:r w:rsidRPr="00BA24EC">
                        <w:rPr>
                          <w:rFonts w:ascii="Arial Narrow" w:hAnsi="Arial Narrow"/>
                          <w:color w:val="5B9BD5" w:themeColor="accent1"/>
                          <w:lang w:val="fr-FR"/>
                        </w:rPr>
                        <w:t xml:space="preserve">                                               </w:t>
                      </w:r>
                    </w:p>
                    <w:p w:rsidR="00BA24EC" w:rsidRPr="00BA24EC" w:rsidRDefault="00BA24EC" w:rsidP="00BA24EC">
                      <w:pPr>
                        <w:rPr>
                          <w:rFonts w:ascii="Arial Narrow" w:hAnsi="Arial Narrow"/>
                          <w:color w:val="5B9BD5" w:themeColor="accent1"/>
                          <w:lang w:val="fr-FR"/>
                        </w:rPr>
                      </w:pPr>
                    </w:p>
                    <w:p w:rsidR="00BA24EC" w:rsidRPr="00BA24EC" w:rsidRDefault="00544FC6" w:rsidP="00544FC6">
                      <w:pPr>
                        <w:rPr>
                          <w:rFonts w:ascii="Arial Narrow" w:hAnsi="Arial Narrow"/>
                          <w:color w:val="5B9BD5" w:themeColor="accent1"/>
                          <w:lang w:val="fr-FR"/>
                        </w:rPr>
                      </w:pPr>
                      <w:r w:rsidRPr="00D514DF">
                        <w:rPr>
                          <w:rFonts w:ascii="Arial Narrow" w:hAnsi="Arial Narrow"/>
                          <w:noProof/>
                          <w:color w:val="5B9BD5" w:themeColor="accent1"/>
                          <w:lang w:val="fr-FR" w:eastAsia="fr-FR"/>
                        </w:rPr>
                        <w:drawing>
                          <wp:inline distT="0" distB="0" distL="0" distR="0" wp14:anchorId="33D98F31" wp14:editId="3C57205F">
                            <wp:extent cx="1104900" cy="46863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TC_logo_F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468630"/>
                                    </a:xfrm>
                                    <a:prstGeom prst="rect">
                                      <a:avLst/>
                                    </a:prstGeom>
                                  </pic:spPr>
                                </pic:pic>
                              </a:graphicData>
                            </a:graphic>
                          </wp:inline>
                        </w:drawing>
                      </w:r>
                      <w:r w:rsidR="00BA24EC" w:rsidRPr="00BA24EC">
                        <w:rPr>
                          <w:rFonts w:ascii="Arial Narrow" w:hAnsi="Arial Narrow"/>
                          <w:color w:val="5B9BD5" w:themeColor="accent1"/>
                          <w:lang w:val="fr-FR"/>
                        </w:rPr>
                        <w:t xml:space="preserve">                                                         </w:t>
                      </w:r>
                    </w:p>
                    <w:p w:rsidR="00BA24EC" w:rsidRPr="00BA24EC" w:rsidRDefault="00BA24EC" w:rsidP="00BA24EC">
                      <w:pPr>
                        <w:rPr>
                          <w:rFonts w:ascii="Arial Narrow" w:hAnsi="Arial Narrow"/>
                          <w:color w:val="5B9BD5" w:themeColor="accent1"/>
                          <w:lang w:val="fr-FR"/>
                        </w:rPr>
                      </w:pPr>
                    </w:p>
                    <w:p w:rsidR="006A4A9B" w:rsidRPr="00BB4558" w:rsidRDefault="00E93A43" w:rsidP="00E93A43">
                      <w:pPr>
                        <w:rPr>
                          <w:rFonts w:ascii="Arial Narrow" w:hAnsi="Arial Narrow" w:cs="Arial"/>
                          <w:b/>
                          <w:color w:val="4472C4" w:themeColor="accent5"/>
                          <w:sz w:val="22"/>
                          <w:szCs w:val="22"/>
                          <w:lang w:val="fr-FR"/>
                        </w:rPr>
                      </w:pPr>
                      <w:r>
                        <w:rPr>
                          <w:rFonts w:ascii="Arial Narrow" w:hAnsi="Arial Narrow" w:cs="Arial"/>
                          <w:b/>
                          <w:color w:val="5B9BD5" w:themeColor="accent1"/>
                          <w:sz w:val="20"/>
                          <w:szCs w:val="20"/>
                          <w:lang w:val="fr-FR"/>
                        </w:rPr>
                        <w:t xml:space="preserve">                  </w:t>
                      </w:r>
                      <w:r w:rsidR="0033169A" w:rsidRPr="00BB4558">
                        <w:rPr>
                          <w:rFonts w:ascii="Arial Narrow" w:hAnsi="Arial Narrow" w:cs="Arial"/>
                          <w:b/>
                          <w:color w:val="4472C4" w:themeColor="accent5"/>
                          <w:sz w:val="22"/>
                          <w:szCs w:val="22"/>
                          <w:lang w:val="fr-FR"/>
                        </w:rPr>
                        <w:t>Appel à Candidatures aux Entreprises Marocaines</w:t>
                      </w:r>
                    </w:p>
                    <w:p w:rsidR="0033169A" w:rsidRPr="00BB4558" w:rsidRDefault="0033169A" w:rsidP="006A4A9B">
                      <w:pPr>
                        <w:jc w:val="center"/>
                        <w:rPr>
                          <w:rFonts w:ascii="Arial Narrow" w:hAnsi="Arial Narrow" w:cs="Arial"/>
                          <w:b/>
                          <w:color w:val="4472C4" w:themeColor="accent5"/>
                          <w:sz w:val="22"/>
                          <w:szCs w:val="22"/>
                          <w:lang w:val="fr-FR"/>
                        </w:rPr>
                      </w:pPr>
                      <w:r w:rsidRPr="00BB4558">
                        <w:rPr>
                          <w:rFonts w:ascii="Arial Narrow" w:hAnsi="Arial Narrow" w:cs="Arial"/>
                          <w:b/>
                          <w:color w:val="4472C4" w:themeColor="accent5"/>
                          <w:sz w:val="18"/>
                          <w:szCs w:val="18"/>
                          <w:lang w:val="fr-FR"/>
                        </w:rPr>
                        <w:t>RENFORCER LA COMPÉTITIVITÉ À L’EXPORTATION DU SECTEUR TEXTILE ET                HABILLEMENT</w:t>
                      </w:r>
                    </w:p>
                    <w:p w:rsidR="0033169A" w:rsidRPr="00BB4558" w:rsidRDefault="0033169A" w:rsidP="0033169A">
                      <w:pPr>
                        <w:jc w:val="center"/>
                        <w:rPr>
                          <w:rFonts w:ascii="Arial Narrow" w:hAnsi="Arial Narrow" w:cs="Arial"/>
                          <w:b/>
                          <w:color w:val="4472C4" w:themeColor="accent5"/>
                          <w:sz w:val="18"/>
                          <w:szCs w:val="18"/>
                          <w:lang w:val="fr-FR"/>
                        </w:rPr>
                      </w:pPr>
                      <w:r w:rsidRPr="00BB4558">
                        <w:rPr>
                          <w:rFonts w:ascii="Arial Narrow" w:hAnsi="Arial Narrow" w:cs="Arial"/>
                          <w:b/>
                          <w:color w:val="4472C4" w:themeColor="accent5"/>
                          <w:sz w:val="18"/>
                          <w:szCs w:val="18"/>
                          <w:lang w:val="fr-FR"/>
                        </w:rPr>
                        <w:t>Projet GTEX / MENATEX MAROC</w:t>
                      </w:r>
                    </w:p>
                    <w:p w:rsidR="00BB4558" w:rsidRPr="00BB4558" w:rsidRDefault="00BB4558" w:rsidP="0033169A">
                      <w:pPr>
                        <w:jc w:val="center"/>
                        <w:rPr>
                          <w:rFonts w:ascii="Arial Narrow" w:hAnsi="Arial Narrow" w:cs="Arial"/>
                          <w:b/>
                          <w:color w:val="4472C4" w:themeColor="accent5"/>
                          <w:sz w:val="28"/>
                          <w:szCs w:val="28"/>
                          <w:lang w:val="fr-FR"/>
                        </w:rPr>
                      </w:pPr>
                      <w:r w:rsidRPr="00BB4558">
                        <w:rPr>
                          <w:rFonts w:ascii="Calibri" w:hAnsi="Calibri" w:cs="Calibri"/>
                          <w:b/>
                          <w:color w:val="4472C4" w:themeColor="accent5"/>
                          <w:sz w:val="28"/>
                          <w:szCs w:val="28"/>
                          <w:shd w:val="clear" w:color="auto" w:fill="FFFFFF"/>
                          <w:lang w:val="fr-FR"/>
                        </w:rPr>
                        <w:t>Prolongation du délai de réception des candidatures</w:t>
                      </w:r>
                      <w:r w:rsidRPr="00BB4558">
                        <w:rPr>
                          <w:rFonts w:ascii="Calibri" w:hAnsi="Calibri" w:cs="Calibri"/>
                          <w:color w:val="4472C4" w:themeColor="accent5"/>
                          <w:sz w:val="28"/>
                          <w:szCs w:val="28"/>
                          <w:shd w:val="clear" w:color="auto" w:fill="FFFFFF"/>
                          <w:lang w:val="fr-FR"/>
                        </w:rPr>
                        <w:t> </w:t>
                      </w:r>
                    </w:p>
                    <w:p w:rsidR="0033169A" w:rsidRPr="0033169A" w:rsidRDefault="0033169A" w:rsidP="0033169A">
                      <w:pPr>
                        <w:jc w:val="center"/>
                        <w:rPr>
                          <w:rFonts w:ascii="Arial Narrow" w:hAnsi="Arial Narrow" w:cs="Arial"/>
                          <w:b/>
                          <w:color w:val="5B9BD5" w:themeColor="accent1"/>
                          <w:sz w:val="18"/>
                          <w:szCs w:val="18"/>
                          <w:lang w:val="fr-FR"/>
                        </w:rPr>
                      </w:pP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 Centre du Commerce International (ITC), le Ministère de l’Industrie, </w:t>
                      </w:r>
                      <w:r w:rsidRPr="0033169A">
                        <w:rPr>
                          <w:rFonts w:ascii="Arial Narrow" w:hAnsi="Arial Narrow" w:cs="Arial"/>
                          <w:color w:val="000000" w:themeColor="text1"/>
                          <w:sz w:val="18"/>
                          <w:szCs w:val="18"/>
                          <w:lang w:val="fr-CH"/>
                        </w:rPr>
                        <w:t xml:space="preserve">de l’Investissement, </w:t>
                      </w:r>
                      <w:r w:rsidRPr="0033169A">
                        <w:rPr>
                          <w:rFonts w:ascii="Arial Narrow" w:hAnsi="Arial Narrow" w:cs="Arial"/>
                          <w:sz w:val="18"/>
                          <w:szCs w:val="18"/>
                          <w:lang w:val="fr-FR"/>
                        </w:rPr>
                        <w:t xml:space="preserve">du Commerce, et de l’Economie Numérique (MIICEN) et l’Association Marocaine des Industries du Textile et de l’habillement (AMITH) mettent en œuvre le Projet </w:t>
                      </w:r>
                      <w:r w:rsidRPr="0033169A">
                        <w:rPr>
                          <w:rFonts w:ascii="Arial Narrow" w:hAnsi="Arial Narrow" w:cs="Arial"/>
                          <w:b/>
                          <w:sz w:val="18"/>
                          <w:szCs w:val="18"/>
                          <w:lang w:val="fr-FR"/>
                        </w:rPr>
                        <w:t>GTEX / MENATEX Maroc</w:t>
                      </w:r>
                      <w:r w:rsidRPr="0033169A">
                        <w:rPr>
                          <w:rFonts w:ascii="Arial Narrow" w:hAnsi="Arial Narrow" w:cs="Arial"/>
                          <w:sz w:val="18"/>
                          <w:szCs w:val="18"/>
                          <w:lang w:val="fr-FR"/>
                        </w:rPr>
                        <w:t>, sur une période de 3 ans (Novembre 2018 à Décembre 2021). Le projet est financé par les Gouvernements Suisse, Suédois et Marocain.</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Il s’agit d’un projet d’assistance technique qui vise à  soutenir le secteur du </w:t>
                      </w:r>
                      <w:r w:rsidRPr="0033169A">
                        <w:rPr>
                          <w:rFonts w:ascii="Arial Narrow" w:hAnsi="Arial Narrow" w:cs="Arial"/>
                          <w:b/>
                          <w:sz w:val="18"/>
                          <w:szCs w:val="18"/>
                          <w:lang w:val="fr-FR"/>
                        </w:rPr>
                        <w:t>textile et de l'habillement</w:t>
                      </w:r>
                      <w:r w:rsidRPr="0033169A">
                        <w:rPr>
                          <w:rFonts w:ascii="Arial Narrow" w:hAnsi="Arial Narrow" w:cs="Arial"/>
                          <w:sz w:val="18"/>
                          <w:szCs w:val="18"/>
                          <w:lang w:val="fr-FR"/>
                        </w:rPr>
                        <w:t xml:space="preserve"> afin de renforcer et améliorer sa chaîne de valeur et diversifier son offre de produits,  consolider les marchés existants et accéder à de nouveaux marchés tout en optimisant les services proposés par les Institutions d’appui au commerce (IAC) du secteur.</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Des institutions marocaines d’appui aux entreprises du secteur textile et habillement sont partenaires du projet notamment l’AMDIE, MAROC PME, l’ESITH, le CTTH et CASA MODA.</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 projet assistera - dans une première phase - 25 petites et moyennes entreprises opérant dans  le </w:t>
                      </w:r>
                      <w:r w:rsidRPr="0033169A">
                        <w:rPr>
                          <w:rFonts w:ascii="Arial Narrow" w:hAnsi="Arial Narrow" w:cs="Arial"/>
                          <w:b/>
                          <w:sz w:val="18"/>
                          <w:szCs w:val="18"/>
                          <w:lang w:val="fr-FR"/>
                        </w:rPr>
                        <w:t>« fast fashion»,  le denim  ou la maille</w:t>
                      </w:r>
                      <w:r w:rsidRPr="0033169A">
                        <w:rPr>
                          <w:rFonts w:ascii="Arial Narrow" w:hAnsi="Arial Narrow" w:cs="Arial"/>
                          <w:sz w:val="18"/>
                          <w:szCs w:val="18"/>
                          <w:lang w:val="fr-FR"/>
                        </w:rPr>
                        <w:t xml:space="preserve">. Cet appel à candidature s’adresse également aux entreprises opérant dans le </w:t>
                      </w:r>
                      <w:r w:rsidRPr="0033169A">
                        <w:rPr>
                          <w:rFonts w:ascii="Arial Narrow" w:hAnsi="Arial Narrow" w:cs="Arial"/>
                          <w:b/>
                          <w:sz w:val="18"/>
                          <w:szCs w:val="18"/>
                          <w:lang w:val="fr-FR"/>
                        </w:rPr>
                        <w:t>linge de maison et le textile technique</w:t>
                      </w:r>
                      <w:r w:rsidRPr="0033169A">
                        <w:rPr>
                          <w:rFonts w:ascii="Arial Narrow" w:hAnsi="Arial Narrow" w:cs="Arial"/>
                          <w:sz w:val="18"/>
                          <w:szCs w:val="18"/>
                          <w:lang w:val="fr-FR"/>
                        </w:rPr>
                        <w:t>. Celles-ci seront intégrées dans une deuxième phase du projet.</w:t>
                      </w:r>
                    </w:p>
                    <w:p w:rsidR="0033169A" w:rsidRPr="0033169A" w:rsidRDefault="0033169A" w:rsidP="0033169A">
                      <w:pPr>
                        <w:rPr>
                          <w:rFonts w:ascii="Arial Narrow" w:hAnsi="Arial Narrow" w:cs="Arial"/>
                          <w:sz w:val="18"/>
                          <w:szCs w:val="18"/>
                          <w:lang w:val="fr-FR"/>
                        </w:rPr>
                      </w:pPr>
                      <w:r w:rsidRPr="0033169A">
                        <w:rPr>
                          <w:rFonts w:ascii="Arial Narrow" w:hAnsi="Arial Narrow" w:cs="Arial"/>
                          <w:sz w:val="18"/>
                          <w:szCs w:val="18"/>
                          <w:lang w:val="fr-FR"/>
                        </w:rPr>
                        <w:t xml:space="preserve">Les entreprises participantes seront en mesure d'accroître leur compétitivité internationale et de diversifier leur base d'exportation. Ceci sera réalisé notamment par le biais de formation, coaching et mentorat dans des domaines à valeur ajoutée tels que les approvisionnements, le marketing à l’export, les stratégies de marque mais aussi la conformité aux normes sociales et environnementales requises par les acheteurs. Le projet permettra aussi une connexion des entreprises à de nouveaux marchés et à de nouveaux acheteurs potentiels. </w:t>
                      </w:r>
                    </w:p>
                    <w:p w:rsidR="0033169A" w:rsidRPr="0033169A" w:rsidRDefault="0033169A" w:rsidP="0033169A">
                      <w:pPr>
                        <w:rPr>
                          <w:rFonts w:ascii="Arial Narrow" w:eastAsia="Times New Roman" w:hAnsi="Arial Narrow" w:cs="Arial"/>
                          <w:sz w:val="18"/>
                          <w:szCs w:val="18"/>
                          <w:lang w:val="fr-FR" w:eastAsia="fr-FR"/>
                        </w:rPr>
                      </w:pPr>
                      <w:r w:rsidRPr="0033169A">
                        <w:rPr>
                          <w:rFonts w:ascii="Arial Narrow" w:eastAsia="Times New Roman" w:hAnsi="Arial Narrow" w:cs="Arial"/>
                          <w:sz w:val="18"/>
                          <w:szCs w:val="18"/>
                          <w:lang w:val="fr-FR" w:eastAsia="fr-FR"/>
                        </w:rPr>
                        <w:t>Les entreprises intéressées sont invitées à manifester leur intérêt et à remplir le formulaire d’inscription disponible sur le site du Ministère de l’Industrie, de l’Investissement, du Commerce et de l’Economie Numérique </w:t>
                      </w:r>
                      <w:r w:rsidRPr="0033169A">
                        <w:rPr>
                          <w:rFonts w:ascii="Arial Narrow" w:eastAsia="Times New Roman" w:hAnsi="Arial Narrow" w:cs="Arial"/>
                          <w:b/>
                          <w:sz w:val="18"/>
                          <w:szCs w:val="18"/>
                          <w:u w:val="single"/>
                          <w:lang w:val="fr-FR" w:eastAsia="fr-FR"/>
                        </w:rPr>
                        <w:t>www.mcinet.gov.ma</w:t>
                      </w:r>
                      <w:r w:rsidRPr="0033169A">
                        <w:rPr>
                          <w:rFonts w:ascii="Arial Narrow" w:eastAsia="Times New Roman" w:hAnsi="Arial Narrow" w:cs="Arial"/>
                          <w:sz w:val="18"/>
                          <w:szCs w:val="18"/>
                          <w:lang w:val="fr-FR" w:eastAsia="fr-FR"/>
                        </w:rPr>
                        <w:t xml:space="preserve">  et de l’Association Marocaine des Industries du Textile et de l’Habillement </w:t>
                      </w:r>
                      <w:r w:rsidRPr="0033169A">
                        <w:rPr>
                          <w:rFonts w:ascii="Arial Narrow" w:eastAsia="Times New Roman" w:hAnsi="Arial Narrow" w:cs="Arial"/>
                          <w:b/>
                          <w:sz w:val="18"/>
                          <w:szCs w:val="18"/>
                          <w:u w:val="single"/>
                          <w:lang w:val="fr-FR" w:eastAsia="fr-FR"/>
                        </w:rPr>
                        <w:t>www.amith.ma</w:t>
                      </w:r>
                      <w:r w:rsidRPr="0033169A">
                        <w:rPr>
                          <w:rFonts w:ascii="Arial Narrow" w:eastAsia="Times New Roman" w:hAnsi="Arial Narrow" w:cs="Arial"/>
                          <w:sz w:val="18"/>
                          <w:szCs w:val="18"/>
                          <w:lang w:val="fr-FR" w:eastAsia="fr-FR"/>
                        </w:rPr>
                        <w:t xml:space="preserve"> et l’envoyer par e-mail à : </w:t>
                      </w:r>
                      <w:hyperlink r:id="rId15" w:tgtFrame="_blank" w:history="1">
                        <w:r w:rsidRPr="0033169A">
                          <w:rPr>
                            <w:rStyle w:val="Lienhypertexte"/>
                            <w:rFonts w:ascii="Arial Narrow" w:hAnsi="Arial Narrow" w:cs="Arial"/>
                            <w:sz w:val="18"/>
                            <w:szCs w:val="18"/>
                            <w:shd w:val="clear" w:color="auto" w:fill="FFFFFF"/>
                            <w:lang w:val="fr-FR"/>
                          </w:rPr>
                          <w:t>gtex-maroc@intracen.org</w:t>
                        </w:r>
                      </w:hyperlink>
                      <w:r w:rsidRPr="0033169A">
                        <w:rPr>
                          <w:rStyle w:val="Lienhypertexte"/>
                          <w:rFonts w:ascii="Arial Narrow" w:hAnsi="Arial Narrow" w:cs="Arial"/>
                          <w:sz w:val="18"/>
                          <w:szCs w:val="18"/>
                          <w:shd w:val="clear" w:color="auto" w:fill="FFFFFF"/>
                          <w:lang w:val="fr-FR"/>
                        </w:rPr>
                        <w:t xml:space="preserve"> </w:t>
                      </w:r>
                      <w:r w:rsidRPr="0033169A">
                        <w:rPr>
                          <w:rFonts w:ascii="Arial Narrow" w:eastAsia="Times New Roman" w:hAnsi="Arial Narrow" w:cs="Arial"/>
                          <w:sz w:val="18"/>
                          <w:szCs w:val="18"/>
                          <w:lang w:val="fr-FR" w:eastAsia="fr-FR"/>
                        </w:rPr>
                        <w:t xml:space="preserve">au plus tard le </w:t>
                      </w:r>
                      <w:r w:rsidR="00BB4558" w:rsidRPr="00BB4558">
                        <w:rPr>
                          <w:rFonts w:ascii="Arial Narrow" w:eastAsia="Times New Roman" w:hAnsi="Arial Narrow" w:cs="Arial"/>
                          <w:b/>
                          <w:sz w:val="18"/>
                          <w:szCs w:val="18"/>
                          <w:lang w:val="fr-FR" w:eastAsia="fr-FR"/>
                        </w:rPr>
                        <w:t xml:space="preserve">25 </w:t>
                      </w:r>
                      <w:r w:rsidRPr="00BB4558">
                        <w:rPr>
                          <w:rFonts w:ascii="Arial Narrow" w:eastAsia="Times New Roman" w:hAnsi="Arial Narrow" w:cs="Arial"/>
                          <w:b/>
                          <w:sz w:val="18"/>
                          <w:szCs w:val="18"/>
                          <w:lang w:val="fr-FR" w:eastAsia="fr-FR"/>
                        </w:rPr>
                        <w:t>Janvier 2019.</w:t>
                      </w:r>
                      <w:r w:rsidRPr="0033169A">
                        <w:rPr>
                          <w:rFonts w:ascii="Arial Narrow" w:eastAsia="Times New Roman" w:hAnsi="Arial Narrow" w:cs="Arial"/>
                          <w:sz w:val="18"/>
                          <w:szCs w:val="18"/>
                          <w:lang w:val="fr-FR" w:eastAsia="fr-FR"/>
                        </w:rPr>
                        <w:t xml:space="preserve"> </w:t>
                      </w:r>
                    </w:p>
                    <w:p w:rsidR="0033169A" w:rsidRPr="0033169A" w:rsidRDefault="0033169A" w:rsidP="0033169A">
                      <w:pPr>
                        <w:shd w:val="clear" w:color="auto" w:fill="FFFFFF"/>
                        <w:jc w:val="both"/>
                        <w:rPr>
                          <w:rFonts w:ascii="Arial Narrow" w:eastAsia="Times New Roman" w:hAnsi="Arial Narrow" w:cs="Arial"/>
                          <w:sz w:val="18"/>
                          <w:szCs w:val="18"/>
                          <w:lang w:val="fr-FR" w:eastAsia="fr-FR"/>
                        </w:rPr>
                      </w:pPr>
                      <w:r w:rsidRPr="0033169A">
                        <w:rPr>
                          <w:rFonts w:ascii="Arial Narrow" w:eastAsia="Times New Roman" w:hAnsi="Arial Narrow" w:cs="Arial"/>
                          <w:sz w:val="18"/>
                          <w:szCs w:val="18"/>
                          <w:lang w:val="fr-FR" w:eastAsia="fr-FR"/>
                        </w:rPr>
                        <w:t xml:space="preserve">La sélection des entreprises sera effectuée par un comité constitué à cet effet. </w:t>
                      </w:r>
                    </w:p>
                    <w:p w:rsidR="0033169A" w:rsidRDefault="0033169A" w:rsidP="0033169A">
                      <w:pPr>
                        <w:shd w:val="clear" w:color="auto" w:fill="FFFFFF"/>
                        <w:jc w:val="both"/>
                        <w:rPr>
                          <w:rStyle w:val="Lienhypertexte"/>
                          <w:rFonts w:ascii="Arial Narrow" w:hAnsi="Arial Narrow" w:cs="Arial"/>
                          <w:sz w:val="18"/>
                          <w:szCs w:val="18"/>
                          <w:shd w:val="clear" w:color="auto" w:fill="FFFFFF"/>
                          <w:lang w:val="fr-FR"/>
                        </w:rPr>
                      </w:pPr>
                      <w:r w:rsidRPr="0033169A">
                        <w:rPr>
                          <w:rFonts w:ascii="Arial Narrow" w:eastAsia="Times New Roman" w:hAnsi="Arial Narrow" w:cs="Arial"/>
                          <w:sz w:val="18"/>
                          <w:szCs w:val="18"/>
                          <w:lang w:val="fr-FR" w:eastAsia="fr-FR"/>
                        </w:rPr>
                        <w:t xml:space="preserve">Pour toute question concernant cet appel à candidature, veuillez adresser votre message à l’adresse email suivante : </w:t>
                      </w:r>
                      <w:hyperlink r:id="rId16" w:tgtFrame="_blank" w:history="1">
                        <w:r w:rsidRPr="0033169A">
                          <w:rPr>
                            <w:rStyle w:val="Lienhypertexte"/>
                            <w:rFonts w:ascii="Arial Narrow" w:hAnsi="Arial Narrow" w:cs="Arial"/>
                            <w:sz w:val="18"/>
                            <w:szCs w:val="18"/>
                            <w:shd w:val="clear" w:color="auto" w:fill="FFFFFF"/>
                            <w:lang w:val="fr-FR"/>
                          </w:rPr>
                          <w:t>gtex-maroc@intracen.org</w:t>
                        </w:r>
                      </w:hyperlink>
                    </w:p>
                    <w:p w:rsidR="00544FC6" w:rsidRPr="0033169A" w:rsidRDefault="00544FC6" w:rsidP="0033169A">
                      <w:pPr>
                        <w:shd w:val="clear" w:color="auto" w:fill="FFFFFF"/>
                        <w:jc w:val="both"/>
                        <w:rPr>
                          <w:rFonts w:ascii="Arial Narrow" w:eastAsia="Times New Roman" w:hAnsi="Arial Narrow" w:cs="Arial"/>
                          <w:sz w:val="18"/>
                          <w:szCs w:val="18"/>
                          <w:lang w:val="fr-FR" w:eastAsia="fr-FR"/>
                        </w:rPr>
                      </w:pPr>
                    </w:p>
                    <w:p w:rsidR="00BA24EC" w:rsidRPr="0033169A" w:rsidRDefault="00BA24EC" w:rsidP="00544FC6">
                      <w:pPr>
                        <w:jc w:val="center"/>
                        <w:rPr>
                          <w:rFonts w:ascii="Arial Narrow" w:hAnsi="Arial Narrow"/>
                          <w:sz w:val="18"/>
                          <w:szCs w:val="18"/>
                        </w:rPr>
                      </w:pPr>
                      <w:r w:rsidRPr="0033169A">
                        <w:rPr>
                          <w:rFonts w:ascii="Arial" w:hAnsi="Arial" w:cs="Arial"/>
                          <w:caps/>
                          <w:noProof/>
                          <w:color w:val="2E74B5" w:themeColor="accent1" w:themeShade="BF"/>
                          <w:sz w:val="18"/>
                          <w:szCs w:val="18"/>
                          <w:lang w:val="fr-FR" w:eastAsia="fr-FR"/>
                        </w:rPr>
                        <w:drawing>
                          <wp:inline distT="0" distB="0" distL="0" distR="0">
                            <wp:extent cx="1181100" cy="399576"/>
                            <wp:effectExtent l="0" t="0" r="0" b="63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me.Noucair\Desktop\logo suèd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856" cy="420468"/>
                                    </a:xfrm>
                                    <a:prstGeom prst="rect">
                                      <a:avLst/>
                                    </a:prstGeom>
                                    <a:noFill/>
                                    <a:ln>
                                      <a:noFill/>
                                    </a:ln>
                                  </pic:spPr>
                                </pic:pic>
                              </a:graphicData>
                            </a:graphic>
                          </wp:inline>
                        </w:drawing>
                      </w:r>
                      <w:r w:rsidRPr="0033169A">
                        <w:rPr>
                          <w:rFonts w:ascii="Arial Narrow" w:hAnsi="Arial Narrow"/>
                          <w:noProof/>
                          <w:color w:val="5B9BD5" w:themeColor="accent1"/>
                          <w:sz w:val="18"/>
                          <w:szCs w:val="18"/>
                          <w:lang w:val="fr-FR" w:eastAsia="fr-FR"/>
                        </w:rPr>
                        <w:drawing>
                          <wp:inline distT="0" distB="0" distL="0" distR="0">
                            <wp:extent cx="1190625" cy="42118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519" cy="445553"/>
                                    </a:xfrm>
                                    <a:prstGeom prst="rect">
                                      <a:avLst/>
                                    </a:prstGeom>
                                    <a:noFill/>
                                  </pic:spPr>
                                </pic:pic>
                              </a:graphicData>
                            </a:graphic>
                          </wp:inline>
                        </w:drawing>
                      </w:r>
                    </w:p>
                    <w:p w:rsidR="00B4581F" w:rsidRPr="00CA352C" w:rsidRDefault="00B4581F" w:rsidP="00B4581F">
                      <w:pPr>
                        <w:ind w:right="53"/>
                        <w:rPr>
                          <w:rFonts w:eastAsia="Times New Roman"/>
                          <w:lang w:val="fr-CH" w:eastAsia="en-US"/>
                        </w:rPr>
                      </w:pPr>
                    </w:p>
                    <w:p w:rsidR="00B4581F" w:rsidRPr="00B4581F" w:rsidRDefault="00B4581F">
                      <w:pPr>
                        <w:rPr>
                          <w:lang w:val="fr-CH"/>
                        </w:rPr>
                      </w:pPr>
                    </w:p>
                  </w:txbxContent>
                </v:textbox>
              </v:rect>
            </w:pict>
          </mc:Fallback>
        </mc:AlternateContent>
      </w:r>
    </w:p>
    <w:sectPr w:rsidR="005F4302" w:rsidRPr="00E55880" w:rsidSect="007A1B18">
      <w:pgSz w:w="7088" w:h="10206"/>
      <w:pgMar w:top="-294" w:right="0" w:bottom="0" w:left="2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95E" w:rsidRDefault="00D8595E" w:rsidP="00870FE6">
      <w:r>
        <w:separator/>
      </w:r>
    </w:p>
  </w:endnote>
  <w:endnote w:type="continuationSeparator" w:id="0">
    <w:p w:rsidR="00D8595E" w:rsidRDefault="00D8595E" w:rsidP="0087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95E" w:rsidRDefault="00D8595E" w:rsidP="00870FE6">
      <w:r>
        <w:separator/>
      </w:r>
    </w:p>
  </w:footnote>
  <w:footnote w:type="continuationSeparator" w:id="0">
    <w:p w:rsidR="00D8595E" w:rsidRDefault="00D8595E" w:rsidP="00870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DEC"/>
    <w:multiLevelType w:val="multilevel"/>
    <w:tmpl w:val="8A46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71D9"/>
    <w:multiLevelType w:val="multilevel"/>
    <w:tmpl w:val="D85E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5192B"/>
    <w:multiLevelType w:val="hybridMultilevel"/>
    <w:tmpl w:val="5F7479EC"/>
    <w:lvl w:ilvl="0" w:tplc="3EFC928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8600FF"/>
    <w:multiLevelType w:val="multilevel"/>
    <w:tmpl w:val="A5AA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342AB"/>
    <w:multiLevelType w:val="hybridMultilevel"/>
    <w:tmpl w:val="3D881352"/>
    <w:lvl w:ilvl="0" w:tplc="38A476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0694C"/>
    <w:multiLevelType w:val="hybridMultilevel"/>
    <w:tmpl w:val="79FAE6AE"/>
    <w:lvl w:ilvl="0" w:tplc="78C477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D94A48"/>
    <w:multiLevelType w:val="hybridMultilevel"/>
    <w:tmpl w:val="E1DA1306"/>
    <w:lvl w:ilvl="0" w:tplc="E5B273B2">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78149E"/>
    <w:multiLevelType w:val="multilevel"/>
    <w:tmpl w:val="5F4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A5C5F"/>
    <w:multiLevelType w:val="hybridMultilevel"/>
    <w:tmpl w:val="6F82584E"/>
    <w:lvl w:ilvl="0" w:tplc="5F78E4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D3F80"/>
    <w:multiLevelType w:val="multilevel"/>
    <w:tmpl w:val="A18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BE3FA1"/>
    <w:multiLevelType w:val="hybridMultilevel"/>
    <w:tmpl w:val="9142F76A"/>
    <w:lvl w:ilvl="0" w:tplc="E5B273B2">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A84CBB"/>
    <w:multiLevelType w:val="hybridMultilevel"/>
    <w:tmpl w:val="AB9C1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F0DDA"/>
    <w:multiLevelType w:val="multilevel"/>
    <w:tmpl w:val="348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020108"/>
    <w:multiLevelType w:val="hybridMultilevel"/>
    <w:tmpl w:val="5A2A7674"/>
    <w:lvl w:ilvl="0" w:tplc="E5B273B2">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8123B3"/>
    <w:multiLevelType w:val="multilevel"/>
    <w:tmpl w:val="80E45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170558"/>
    <w:multiLevelType w:val="multilevel"/>
    <w:tmpl w:val="8A46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6E2971"/>
    <w:multiLevelType w:val="hybridMultilevel"/>
    <w:tmpl w:val="19007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4"/>
  </w:num>
  <w:num w:numId="5">
    <w:abstractNumId w:val="2"/>
  </w:num>
  <w:num w:numId="6">
    <w:abstractNumId w:val="8"/>
  </w:num>
  <w:num w:numId="7">
    <w:abstractNumId w:val="4"/>
  </w:num>
  <w:num w:numId="8">
    <w:abstractNumId w:val="0"/>
  </w:num>
  <w:num w:numId="9">
    <w:abstractNumId w:val="15"/>
  </w:num>
  <w:num w:numId="10">
    <w:abstractNumId w:val="5"/>
  </w:num>
  <w:num w:numId="11">
    <w:abstractNumId w:val="1"/>
  </w:num>
  <w:num w:numId="12">
    <w:abstractNumId w:val="9"/>
  </w:num>
  <w:num w:numId="13">
    <w:abstractNumId w:val="16"/>
  </w:num>
  <w:num w:numId="14">
    <w:abstractNumId w:val="11"/>
  </w:num>
  <w:num w:numId="15">
    <w:abstractNumId w:val="1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1F"/>
    <w:rsid w:val="00000458"/>
    <w:rsid w:val="00001A77"/>
    <w:rsid w:val="0001355E"/>
    <w:rsid w:val="000148C3"/>
    <w:rsid w:val="00016371"/>
    <w:rsid w:val="00017A65"/>
    <w:rsid w:val="00017C56"/>
    <w:rsid w:val="000323C7"/>
    <w:rsid w:val="000450A4"/>
    <w:rsid w:val="000569D8"/>
    <w:rsid w:val="000579D7"/>
    <w:rsid w:val="00064AA8"/>
    <w:rsid w:val="00097A6D"/>
    <w:rsid w:val="000A4E81"/>
    <w:rsid w:val="000B27F8"/>
    <w:rsid w:val="000B496E"/>
    <w:rsid w:val="000C4BFD"/>
    <w:rsid w:val="000F72B9"/>
    <w:rsid w:val="0010054C"/>
    <w:rsid w:val="00105649"/>
    <w:rsid w:val="00106BD6"/>
    <w:rsid w:val="00111CCE"/>
    <w:rsid w:val="00125AF2"/>
    <w:rsid w:val="00132F98"/>
    <w:rsid w:val="00160E8D"/>
    <w:rsid w:val="00160FAB"/>
    <w:rsid w:val="00162D5C"/>
    <w:rsid w:val="001F2174"/>
    <w:rsid w:val="00200840"/>
    <w:rsid w:val="00202492"/>
    <w:rsid w:val="00206466"/>
    <w:rsid w:val="00206D74"/>
    <w:rsid w:val="002207C1"/>
    <w:rsid w:val="0022134E"/>
    <w:rsid w:val="00221C11"/>
    <w:rsid w:val="00227CED"/>
    <w:rsid w:val="00232294"/>
    <w:rsid w:val="00236E9E"/>
    <w:rsid w:val="0024245F"/>
    <w:rsid w:val="00271FF1"/>
    <w:rsid w:val="0028550A"/>
    <w:rsid w:val="00286C4D"/>
    <w:rsid w:val="002C0EC5"/>
    <w:rsid w:val="002D37FE"/>
    <w:rsid w:val="002D52B9"/>
    <w:rsid w:val="002D7CF9"/>
    <w:rsid w:val="002F5674"/>
    <w:rsid w:val="0030251B"/>
    <w:rsid w:val="00312198"/>
    <w:rsid w:val="00312204"/>
    <w:rsid w:val="00312223"/>
    <w:rsid w:val="0033169A"/>
    <w:rsid w:val="003373B6"/>
    <w:rsid w:val="00347039"/>
    <w:rsid w:val="0037554C"/>
    <w:rsid w:val="003C06B7"/>
    <w:rsid w:val="003C2732"/>
    <w:rsid w:val="003C2F44"/>
    <w:rsid w:val="003C78BC"/>
    <w:rsid w:val="003D5110"/>
    <w:rsid w:val="003D7499"/>
    <w:rsid w:val="003E6977"/>
    <w:rsid w:val="003E7CFE"/>
    <w:rsid w:val="003F43FD"/>
    <w:rsid w:val="004101D3"/>
    <w:rsid w:val="00417971"/>
    <w:rsid w:val="00417EA5"/>
    <w:rsid w:val="00422363"/>
    <w:rsid w:val="00440A8E"/>
    <w:rsid w:val="004462A6"/>
    <w:rsid w:val="00451DBD"/>
    <w:rsid w:val="00455C83"/>
    <w:rsid w:val="00465CBF"/>
    <w:rsid w:val="00475045"/>
    <w:rsid w:val="00482CF4"/>
    <w:rsid w:val="00486E00"/>
    <w:rsid w:val="004B0ED0"/>
    <w:rsid w:val="004C3F03"/>
    <w:rsid w:val="004F187D"/>
    <w:rsid w:val="005002E8"/>
    <w:rsid w:val="00516F02"/>
    <w:rsid w:val="0053536B"/>
    <w:rsid w:val="00544FC6"/>
    <w:rsid w:val="0054721E"/>
    <w:rsid w:val="005513C2"/>
    <w:rsid w:val="00556F31"/>
    <w:rsid w:val="00563D7A"/>
    <w:rsid w:val="00572F0F"/>
    <w:rsid w:val="005929A3"/>
    <w:rsid w:val="00594932"/>
    <w:rsid w:val="005A2DE6"/>
    <w:rsid w:val="005A6959"/>
    <w:rsid w:val="005C5ACE"/>
    <w:rsid w:val="005D042F"/>
    <w:rsid w:val="005D2EFD"/>
    <w:rsid w:val="005E0BCE"/>
    <w:rsid w:val="005E0D7F"/>
    <w:rsid w:val="005E3B2F"/>
    <w:rsid w:val="005F0893"/>
    <w:rsid w:val="005F4302"/>
    <w:rsid w:val="006049CE"/>
    <w:rsid w:val="00612424"/>
    <w:rsid w:val="00626E9E"/>
    <w:rsid w:val="00637B58"/>
    <w:rsid w:val="0064583C"/>
    <w:rsid w:val="00661611"/>
    <w:rsid w:val="00666A33"/>
    <w:rsid w:val="00680089"/>
    <w:rsid w:val="00693A42"/>
    <w:rsid w:val="00696BF5"/>
    <w:rsid w:val="006A4A9B"/>
    <w:rsid w:val="006A54A0"/>
    <w:rsid w:val="006B6C76"/>
    <w:rsid w:val="006C1BA9"/>
    <w:rsid w:val="006C1F62"/>
    <w:rsid w:val="006C460A"/>
    <w:rsid w:val="006E79DD"/>
    <w:rsid w:val="006F0E46"/>
    <w:rsid w:val="00716A33"/>
    <w:rsid w:val="00722371"/>
    <w:rsid w:val="00726FFE"/>
    <w:rsid w:val="00733171"/>
    <w:rsid w:val="007538E8"/>
    <w:rsid w:val="00763F80"/>
    <w:rsid w:val="00775752"/>
    <w:rsid w:val="00777126"/>
    <w:rsid w:val="0077790C"/>
    <w:rsid w:val="00780F0E"/>
    <w:rsid w:val="00791D78"/>
    <w:rsid w:val="00795239"/>
    <w:rsid w:val="007A124D"/>
    <w:rsid w:val="007A1B18"/>
    <w:rsid w:val="007B3000"/>
    <w:rsid w:val="007C6EE3"/>
    <w:rsid w:val="007D60D5"/>
    <w:rsid w:val="007E4C32"/>
    <w:rsid w:val="007F273C"/>
    <w:rsid w:val="007F38B2"/>
    <w:rsid w:val="00803AF5"/>
    <w:rsid w:val="00811B98"/>
    <w:rsid w:val="00814875"/>
    <w:rsid w:val="00825A27"/>
    <w:rsid w:val="00831FD8"/>
    <w:rsid w:val="008324D3"/>
    <w:rsid w:val="008340F0"/>
    <w:rsid w:val="00841704"/>
    <w:rsid w:val="00844521"/>
    <w:rsid w:val="0085682E"/>
    <w:rsid w:val="008669BD"/>
    <w:rsid w:val="00870FE6"/>
    <w:rsid w:val="0087147C"/>
    <w:rsid w:val="00886901"/>
    <w:rsid w:val="00890563"/>
    <w:rsid w:val="00893137"/>
    <w:rsid w:val="00896FE6"/>
    <w:rsid w:val="00897E84"/>
    <w:rsid w:val="008A2009"/>
    <w:rsid w:val="008B1285"/>
    <w:rsid w:val="008C4AB2"/>
    <w:rsid w:val="008E7C82"/>
    <w:rsid w:val="008F5093"/>
    <w:rsid w:val="008F770A"/>
    <w:rsid w:val="00906105"/>
    <w:rsid w:val="00921541"/>
    <w:rsid w:val="00931CE5"/>
    <w:rsid w:val="00936AA0"/>
    <w:rsid w:val="0095776B"/>
    <w:rsid w:val="00961D1B"/>
    <w:rsid w:val="00970379"/>
    <w:rsid w:val="00977A59"/>
    <w:rsid w:val="009856C1"/>
    <w:rsid w:val="009940A4"/>
    <w:rsid w:val="009942E7"/>
    <w:rsid w:val="00997DEE"/>
    <w:rsid w:val="009A27B2"/>
    <w:rsid w:val="009B37A7"/>
    <w:rsid w:val="009C21B6"/>
    <w:rsid w:val="009C32FC"/>
    <w:rsid w:val="009C5744"/>
    <w:rsid w:val="009D5F34"/>
    <w:rsid w:val="009D78A2"/>
    <w:rsid w:val="009F1523"/>
    <w:rsid w:val="009F6871"/>
    <w:rsid w:val="00A02FA1"/>
    <w:rsid w:val="00A0701A"/>
    <w:rsid w:val="00A22881"/>
    <w:rsid w:val="00A269E8"/>
    <w:rsid w:val="00A26F92"/>
    <w:rsid w:val="00A53D0F"/>
    <w:rsid w:val="00A91302"/>
    <w:rsid w:val="00A9307A"/>
    <w:rsid w:val="00A96CEE"/>
    <w:rsid w:val="00AA0DE6"/>
    <w:rsid w:val="00AA6879"/>
    <w:rsid w:val="00AB35F0"/>
    <w:rsid w:val="00AC0189"/>
    <w:rsid w:val="00AC3226"/>
    <w:rsid w:val="00AD284A"/>
    <w:rsid w:val="00AE1A82"/>
    <w:rsid w:val="00B035A0"/>
    <w:rsid w:val="00B21B47"/>
    <w:rsid w:val="00B30A8C"/>
    <w:rsid w:val="00B40DD0"/>
    <w:rsid w:val="00B417BA"/>
    <w:rsid w:val="00B444A3"/>
    <w:rsid w:val="00B4581F"/>
    <w:rsid w:val="00B53F6B"/>
    <w:rsid w:val="00B5618B"/>
    <w:rsid w:val="00B572F5"/>
    <w:rsid w:val="00B66D8B"/>
    <w:rsid w:val="00B678C0"/>
    <w:rsid w:val="00B74E25"/>
    <w:rsid w:val="00B846B2"/>
    <w:rsid w:val="00B90FEE"/>
    <w:rsid w:val="00B96126"/>
    <w:rsid w:val="00BA24EC"/>
    <w:rsid w:val="00BA3D5D"/>
    <w:rsid w:val="00BA6C5B"/>
    <w:rsid w:val="00BB0C58"/>
    <w:rsid w:val="00BB4558"/>
    <w:rsid w:val="00BC46A1"/>
    <w:rsid w:val="00BC7C4F"/>
    <w:rsid w:val="00BE10BD"/>
    <w:rsid w:val="00BE64AC"/>
    <w:rsid w:val="00BF134E"/>
    <w:rsid w:val="00BF4BD9"/>
    <w:rsid w:val="00C02A14"/>
    <w:rsid w:val="00C05F8A"/>
    <w:rsid w:val="00C07E9F"/>
    <w:rsid w:val="00C14C09"/>
    <w:rsid w:val="00C1699F"/>
    <w:rsid w:val="00C20A1A"/>
    <w:rsid w:val="00C23D42"/>
    <w:rsid w:val="00C3362E"/>
    <w:rsid w:val="00C44F1B"/>
    <w:rsid w:val="00C65991"/>
    <w:rsid w:val="00C93577"/>
    <w:rsid w:val="00C93FA0"/>
    <w:rsid w:val="00CA352C"/>
    <w:rsid w:val="00CB79F0"/>
    <w:rsid w:val="00CD0C1A"/>
    <w:rsid w:val="00CD55E8"/>
    <w:rsid w:val="00CF5BD3"/>
    <w:rsid w:val="00D008B8"/>
    <w:rsid w:val="00D0499D"/>
    <w:rsid w:val="00D14004"/>
    <w:rsid w:val="00D31F8A"/>
    <w:rsid w:val="00D32AFC"/>
    <w:rsid w:val="00D52096"/>
    <w:rsid w:val="00D54EC0"/>
    <w:rsid w:val="00D6584D"/>
    <w:rsid w:val="00D76425"/>
    <w:rsid w:val="00D8296E"/>
    <w:rsid w:val="00D8595E"/>
    <w:rsid w:val="00DA0F7B"/>
    <w:rsid w:val="00DA2B1F"/>
    <w:rsid w:val="00DB4A42"/>
    <w:rsid w:val="00DB7DEE"/>
    <w:rsid w:val="00DE05DE"/>
    <w:rsid w:val="00DE31F7"/>
    <w:rsid w:val="00DE5824"/>
    <w:rsid w:val="00DE715F"/>
    <w:rsid w:val="00DF30A3"/>
    <w:rsid w:val="00DF5603"/>
    <w:rsid w:val="00E04453"/>
    <w:rsid w:val="00E049F1"/>
    <w:rsid w:val="00E05D68"/>
    <w:rsid w:val="00E134BC"/>
    <w:rsid w:val="00E216B4"/>
    <w:rsid w:val="00E22994"/>
    <w:rsid w:val="00E41AD0"/>
    <w:rsid w:val="00E424EE"/>
    <w:rsid w:val="00E55880"/>
    <w:rsid w:val="00E6394A"/>
    <w:rsid w:val="00E64704"/>
    <w:rsid w:val="00E75A62"/>
    <w:rsid w:val="00E81F3A"/>
    <w:rsid w:val="00E9181F"/>
    <w:rsid w:val="00E93A43"/>
    <w:rsid w:val="00EC35B3"/>
    <w:rsid w:val="00EE3515"/>
    <w:rsid w:val="00EF31BD"/>
    <w:rsid w:val="00F05FC3"/>
    <w:rsid w:val="00F12FEB"/>
    <w:rsid w:val="00F1357D"/>
    <w:rsid w:val="00F143FC"/>
    <w:rsid w:val="00F23ACE"/>
    <w:rsid w:val="00F25FBD"/>
    <w:rsid w:val="00F4386B"/>
    <w:rsid w:val="00F50346"/>
    <w:rsid w:val="00F575E1"/>
    <w:rsid w:val="00F67F4E"/>
    <w:rsid w:val="00F721E9"/>
    <w:rsid w:val="00F73C94"/>
    <w:rsid w:val="00F7595F"/>
    <w:rsid w:val="00F75D87"/>
    <w:rsid w:val="00F771A0"/>
    <w:rsid w:val="00FA43CC"/>
    <w:rsid w:val="00FB7978"/>
    <w:rsid w:val="00FB7B7E"/>
    <w:rsid w:val="00FD06E4"/>
    <w:rsid w:val="00FD4270"/>
    <w:rsid w:val="00FD7AB4"/>
    <w:rsid w:val="00FE1C0D"/>
    <w:rsid w:val="00FE1D99"/>
    <w:rsid w:val="00FE292F"/>
    <w:rsid w:val="00FE30BE"/>
    <w:rsid w:val="00FE67F6"/>
    <w:rsid w:val="00FF271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8BF1A-7A2B-4202-A045-C466177E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E8"/>
    <w:rPr>
      <w:sz w:val="24"/>
      <w:szCs w:val="24"/>
      <w:lang w:val="en-US" w:eastAsia="zh-CN"/>
    </w:rPr>
  </w:style>
  <w:style w:type="paragraph" w:styleId="Titre6">
    <w:name w:val="heading 6"/>
    <w:basedOn w:val="Normal"/>
    <w:next w:val="Normal"/>
    <w:link w:val="Titre6Car"/>
    <w:qFormat/>
    <w:rsid w:val="00E9181F"/>
    <w:pPr>
      <w:keepNext/>
      <w:outlineLvl w:val="5"/>
    </w:pPr>
    <w:rPr>
      <w:rFonts w:eastAsia="Times New Roman"/>
      <w:b/>
      <w:bCs/>
      <w:i/>
      <w:iCs/>
      <w:u w:val="single"/>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9181F"/>
  </w:style>
  <w:style w:type="character" w:styleId="Lienhypertexte">
    <w:name w:val="Hyperlink"/>
    <w:uiPriority w:val="99"/>
    <w:unhideWhenUsed/>
    <w:rsid w:val="00E9181F"/>
    <w:rPr>
      <w:color w:val="0000FF"/>
      <w:u w:val="single"/>
    </w:rPr>
  </w:style>
  <w:style w:type="character" w:customStyle="1" w:styleId="Titre6Car">
    <w:name w:val="Titre 6 Car"/>
    <w:link w:val="Titre6"/>
    <w:rsid w:val="00E9181F"/>
    <w:rPr>
      <w:rFonts w:eastAsia="Times New Roman"/>
      <w:b/>
      <w:bCs/>
      <w:i/>
      <w:iCs/>
      <w:sz w:val="24"/>
      <w:szCs w:val="24"/>
      <w:u w:val="single"/>
      <w:lang w:val="en-GB"/>
    </w:rPr>
  </w:style>
  <w:style w:type="paragraph" w:styleId="Corpsdetexte">
    <w:name w:val="Body Text"/>
    <w:basedOn w:val="Normal"/>
    <w:link w:val="CorpsdetexteCar"/>
    <w:semiHidden/>
    <w:rsid w:val="00E9181F"/>
    <w:rPr>
      <w:rFonts w:eastAsia="Times New Roman"/>
      <w:b/>
      <w:bCs/>
      <w:lang w:eastAsia="en-US"/>
    </w:rPr>
  </w:style>
  <w:style w:type="character" w:customStyle="1" w:styleId="CorpsdetexteCar">
    <w:name w:val="Corps de texte Car"/>
    <w:link w:val="Corpsdetexte"/>
    <w:semiHidden/>
    <w:rsid w:val="00E9181F"/>
    <w:rPr>
      <w:rFonts w:eastAsia="Times New Roman"/>
      <w:b/>
      <w:bCs/>
      <w:sz w:val="24"/>
      <w:szCs w:val="24"/>
    </w:rPr>
  </w:style>
  <w:style w:type="paragraph" w:styleId="Corpsdetexte2">
    <w:name w:val="Body Text 2"/>
    <w:basedOn w:val="Normal"/>
    <w:link w:val="Corpsdetexte2Car"/>
    <w:uiPriority w:val="99"/>
    <w:unhideWhenUsed/>
    <w:rsid w:val="005A6959"/>
    <w:pPr>
      <w:spacing w:after="120" w:line="480" w:lineRule="auto"/>
    </w:pPr>
  </w:style>
  <w:style w:type="character" w:customStyle="1" w:styleId="Corpsdetexte2Car">
    <w:name w:val="Corps de texte 2 Car"/>
    <w:link w:val="Corpsdetexte2"/>
    <w:uiPriority w:val="99"/>
    <w:rsid w:val="005A6959"/>
    <w:rPr>
      <w:sz w:val="24"/>
      <w:szCs w:val="24"/>
      <w:lang w:eastAsia="zh-CN"/>
    </w:rPr>
  </w:style>
  <w:style w:type="paragraph" w:styleId="Paragraphedeliste">
    <w:name w:val="List Paragraph"/>
    <w:basedOn w:val="Normal"/>
    <w:uiPriority w:val="34"/>
    <w:qFormat/>
    <w:rsid w:val="000323C7"/>
    <w:pPr>
      <w:ind w:left="720"/>
      <w:contextualSpacing/>
    </w:pPr>
  </w:style>
  <w:style w:type="paragraph" w:styleId="Notedebasdepage">
    <w:name w:val="footnote text"/>
    <w:basedOn w:val="Normal"/>
    <w:link w:val="NotedebasdepageCar"/>
    <w:uiPriority w:val="99"/>
    <w:semiHidden/>
    <w:unhideWhenUsed/>
    <w:rsid w:val="00870FE6"/>
    <w:rPr>
      <w:sz w:val="20"/>
      <w:szCs w:val="20"/>
    </w:rPr>
  </w:style>
  <w:style w:type="character" w:customStyle="1" w:styleId="NotedebasdepageCar">
    <w:name w:val="Note de bas de page Car"/>
    <w:link w:val="Notedebasdepage"/>
    <w:uiPriority w:val="99"/>
    <w:semiHidden/>
    <w:rsid w:val="00870FE6"/>
    <w:rPr>
      <w:lang w:eastAsia="zh-CN"/>
    </w:rPr>
  </w:style>
  <w:style w:type="character" w:styleId="Appelnotedebasdep">
    <w:name w:val="footnote reference"/>
    <w:uiPriority w:val="99"/>
    <w:semiHidden/>
    <w:unhideWhenUsed/>
    <w:rsid w:val="00870FE6"/>
    <w:rPr>
      <w:vertAlign w:val="superscript"/>
    </w:rPr>
  </w:style>
  <w:style w:type="character" w:customStyle="1" w:styleId="apple-style-span">
    <w:name w:val="apple-style-span"/>
    <w:basedOn w:val="Policepardfaut"/>
    <w:rsid w:val="007B3000"/>
  </w:style>
  <w:style w:type="character" w:styleId="Marquedecommentaire">
    <w:name w:val="annotation reference"/>
    <w:uiPriority w:val="99"/>
    <w:semiHidden/>
    <w:unhideWhenUsed/>
    <w:rsid w:val="00B53F6B"/>
    <w:rPr>
      <w:sz w:val="16"/>
      <w:szCs w:val="16"/>
    </w:rPr>
  </w:style>
  <w:style w:type="paragraph" w:styleId="Commentaire">
    <w:name w:val="annotation text"/>
    <w:basedOn w:val="Normal"/>
    <w:link w:val="CommentaireCar"/>
    <w:uiPriority w:val="99"/>
    <w:semiHidden/>
    <w:unhideWhenUsed/>
    <w:rsid w:val="00B53F6B"/>
    <w:rPr>
      <w:sz w:val="20"/>
      <w:szCs w:val="20"/>
    </w:rPr>
  </w:style>
  <w:style w:type="character" w:customStyle="1" w:styleId="CommentaireCar">
    <w:name w:val="Commentaire Car"/>
    <w:link w:val="Commentaire"/>
    <w:uiPriority w:val="99"/>
    <w:semiHidden/>
    <w:rsid w:val="00B53F6B"/>
    <w:rPr>
      <w:lang w:eastAsia="zh-CN"/>
    </w:rPr>
  </w:style>
  <w:style w:type="paragraph" w:styleId="Objetducommentaire">
    <w:name w:val="annotation subject"/>
    <w:basedOn w:val="Commentaire"/>
    <w:next w:val="Commentaire"/>
    <w:link w:val="ObjetducommentaireCar"/>
    <w:uiPriority w:val="99"/>
    <w:semiHidden/>
    <w:unhideWhenUsed/>
    <w:rsid w:val="00B53F6B"/>
    <w:rPr>
      <w:b/>
      <w:bCs/>
    </w:rPr>
  </w:style>
  <w:style w:type="character" w:customStyle="1" w:styleId="ObjetducommentaireCar">
    <w:name w:val="Objet du commentaire Car"/>
    <w:link w:val="Objetducommentaire"/>
    <w:uiPriority w:val="99"/>
    <w:semiHidden/>
    <w:rsid w:val="00B53F6B"/>
    <w:rPr>
      <w:b/>
      <w:bCs/>
      <w:lang w:eastAsia="zh-CN"/>
    </w:rPr>
  </w:style>
  <w:style w:type="paragraph" w:styleId="Textedebulles">
    <w:name w:val="Balloon Text"/>
    <w:basedOn w:val="Normal"/>
    <w:link w:val="TextedebullesCar"/>
    <w:uiPriority w:val="99"/>
    <w:semiHidden/>
    <w:unhideWhenUsed/>
    <w:rsid w:val="00B53F6B"/>
    <w:rPr>
      <w:rFonts w:ascii="Tahoma" w:hAnsi="Tahoma" w:cs="Tahoma"/>
      <w:sz w:val="16"/>
      <w:szCs w:val="16"/>
    </w:rPr>
  </w:style>
  <w:style w:type="character" w:customStyle="1" w:styleId="TextedebullesCar">
    <w:name w:val="Texte de bulles Car"/>
    <w:link w:val="Textedebulles"/>
    <w:uiPriority w:val="99"/>
    <w:semiHidden/>
    <w:rsid w:val="00B53F6B"/>
    <w:rPr>
      <w:rFonts w:ascii="Tahoma" w:hAnsi="Tahoma" w:cs="Tahoma"/>
      <w:sz w:val="16"/>
      <w:szCs w:val="16"/>
      <w:lang w:eastAsia="zh-CN"/>
    </w:rPr>
  </w:style>
  <w:style w:type="paragraph" w:styleId="En-tte">
    <w:name w:val="header"/>
    <w:basedOn w:val="Normal"/>
    <w:link w:val="En-tteCar"/>
    <w:uiPriority w:val="99"/>
    <w:semiHidden/>
    <w:unhideWhenUsed/>
    <w:rsid w:val="00FD06E4"/>
    <w:pPr>
      <w:tabs>
        <w:tab w:val="center" w:pos="4680"/>
        <w:tab w:val="right" w:pos="9360"/>
      </w:tabs>
    </w:pPr>
  </w:style>
  <w:style w:type="character" w:customStyle="1" w:styleId="En-tteCar">
    <w:name w:val="En-tête Car"/>
    <w:link w:val="En-tte"/>
    <w:uiPriority w:val="99"/>
    <w:semiHidden/>
    <w:rsid w:val="00FD06E4"/>
    <w:rPr>
      <w:sz w:val="24"/>
      <w:szCs w:val="24"/>
      <w:lang w:eastAsia="zh-CN"/>
    </w:rPr>
  </w:style>
  <w:style w:type="paragraph" w:styleId="Pieddepage">
    <w:name w:val="footer"/>
    <w:basedOn w:val="Normal"/>
    <w:link w:val="PieddepageCar"/>
    <w:uiPriority w:val="99"/>
    <w:semiHidden/>
    <w:unhideWhenUsed/>
    <w:rsid w:val="00FD06E4"/>
    <w:pPr>
      <w:tabs>
        <w:tab w:val="center" w:pos="4680"/>
        <w:tab w:val="right" w:pos="9360"/>
      </w:tabs>
    </w:pPr>
  </w:style>
  <w:style w:type="character" w:customStyle="1" w:styleId="PieddepageCar">
    <w:name w:val="Pied de page Car"/>
    <w:link w:val="Pieddepage"/>
    <w:uiPriority w:val="99"/>
    <w:semiHidden/>
    <w:rsid w:val="00FD06E4"/>
    <w:rPr>
      <w:sz w:val="24"/>
      <w:szCs w:val="24"/>
      <w:lang w:eastAsia="zh-CN"/>
    </w:rPr>
  </w:style>
  <w:style w:type="table" w:styleId="Grilledutableau">
    <w:name w:val="Table Grid"/>
    <w:basedOn w:val="TableauNormal"/>
    <w:uiPriority w:val="59"/>
    <w:rsid w:val="00417E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Normal"/>
    <w:rsid w:val="00775752"/>
    <w:pPr>
      <w:spacing w:before="100" w:beforeAutospacing="1" w:after="100" w:afterAutospacing="1"/>
    </w:pPr>
    <w:rPr>
      <w:rFonts w:eastAsia="Times New Roman"/>
      <w:lang w:eastAsia="en-US"/>
    </w:rPr>
  </w:style>
  <w:style w:type="character" w:styleId="Appeldenotedefin">
    <w:name w:val="endnote reference"/>
    <w:basedOn w:val="Policepardfaut"/>
    <w:uiPriority w:val="99"/>
    <w:semiHidden/>
    <w:unhideWhenUsed/>
    <w:rsid w:val="00331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95064">
      <w:bodyDiv w:val="1"/>
      <w:marLeft w:val="0"/>
      <w:marRight w:val="0"/>
      <w:marTop w:val="0"/>
      <w:marBottom w:val="0"/>
      <w:divBdr>
        <w:top w:val="none" w:sz="0" w:space="0" w:color="auto"/>
        <w:left w:val="none" w:sz="0" w:space="0" w:color="auto"/>
        <w:bottom w:val="none" w:sz="0" w:space="0" w:color="auto"/>
        <w:right w:val="none" w:sz="0" w:space="0" w:color="auto"/>
      </w:divBdr>
      <w:divsChild>
        <w:div w:id="884755639">
          <w:marLeft w:val="0"/>
          <w:marRight w:val="0"/>
          <w:marTop w:val="0"/>
          <w:marBottom w:val="0"/>
          <w:divBdr>
            <w:top w:val="none" w:sz="0" w:space="0" w:color="auto"/>
            <w:left w:val="none" w:sz="0" w:space="0" w:color="auto"/>
            <w:bottom w:val="none" w:sz="0" w:space="0" w:color="auto"/>
            <w:right w:val="none" w:sz="0" w:space="0" w:color="auto"/>
          </w:divBdr>
          <w:divsChild>
            <w:div w:id="1371109666">
              <w:marLeft w:val="0"/>
              <w:marRight w:val="0"/>
              <w:marTop w:val="0"/>
              <w:marBottom w:val="0"/>
              <w:divBdr>
                <w:top w:val="none" w:sz="0" w:space="0" w:color="auto"/>
                <w:left w:val="none" w:sz="0" w:space="0" w:color="auto"/>
                <w:bottom w:val="none" w:sz="0" w:space="0" w:color="auto"/>
                <w:right w:val="none" w:sz="0" w:space="0" w:color="auto"/>
              </w:divBdr>
            </w:div>
            <w:div w:id="1743409657">
              <w:marLeft w:val="0"/>
              <w:marRight w:val="0"/>
              <w:marTop w:val="0"/>
              <w:marBottom w:val="0"/>
              <w:divBdr>
                <w:top w:val="none" w:sz="0" w:space="0" w:color="auto"/>
                <w:left w:val="none" w:sz="0" w:space="0" w:color="auto"/>
                <w:bottom w:val="none" w:sz="0" w:space="0" w:color="auto"/>
                <w:right w:val="none" w:sz="0" w:space="0" w:color="auto"/>
              </w:divBdr>
            </w:div>
            <w:div w:id="19681988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56969527">
                  <w:marLeft w:val="0"/>
                  <w:marRight w:val="0"/>
                  <w:marTop w:val="0"/>
                  <w:marBottom w:val="0"/>
                  <w:divBdr>
                    <w:top w:val="none" w:sz="0" w:space="0" w:color="auto"/>
                    <w:left w:val="none" w:sz="0" w:space="0" w:color="auto"/>
                    <w:bottom w:val="none" w:sz="0" w:space="0" w:color="auto"/>
                    <w:right w:val="none" w:sz="0" w:space="0" w:color="auto"/>
                  </w:divBdr>
                  <w:divsChild>
                    <w:div w:id="57634585">
                      <w:marLeft w:val="0"/>
                      <w:marRight w:val="0"/>
                      <w:marTop w:val="0"/>
                      <w:marBottom w:val="0"/>
                      <w:divBdr>
                        <w:top w:val="none" w:sz="0" w:space="0" w:color="auto"/>
                        <w:left w:val="none" w:sz="0" w:space="0" w:color="auto"/>
                        <w:bottom w:val="none" w:sz="0" w:space="0" w:color="auto"/>
                        <w:right w:val="none" w:sz="0" w:space="0" w:color="auto"/>
                      </w:divBdr>
                    </w:div>
                    <w:div w:id="82070829">
                      <w:marLeft w:val="0"/>
                      <w:marRight w:val="0"/>
                      <w:marTop w:val="0"/>
                      <w:marBottom w:val="0"/>
                      <w:divBdr>
                        <w:top w:val="none" w:sz="0" w:space="0" w:color="auto"/>
                        <w:left w:val="none" w:sz="0" w:space="0" w:color="auto"/>
                        <w:bottom w:val="none" w:sz="0" w:space="0" w:color="auto"/>
                        <w:right w:val="none" w:sz="0" w:space="0" w:color="auto"/>
                      </w:divBdr>
                    </w:div>
                    <w:div w:id="141310654">
                      <w:marLeft w:val="0"/>
                      <w:marRight w:val="0"/>
                      <w:marTop w:val="0"/>
                      <w:marBottom w:val="0"/>
                      <w:divBdr>
                        <w:top w:val="none" w:sz="0" w:space="0" w:color="auto"/>
                        <w:left w:val="none" w:sz="0" w:space="0" w:color="auto"/>
                        <w:bottom w:val="none" w:sz="0" w:space="0" w:color="auto"/>
                        <w:right w:val="none" w:sz="0" w:space="0" w:color="auto"/>
                      </w:divBdr>
                    </w:div>
                    <w:div w:id="736590493">
                      <w:marLeft w:val="0"/>
                      <w:marRight w:val="0"/>
                      <w:marTop w:val="0"/>
                      <w:marBottom w:val="0"/>
                      <w:divBdr>
                        <w:top w:val="none" w:sz="0" w:space="0" w:color="auto"/>
                        <w:left w:val="none" w:sz="0" w:space="0" w:color="auto"/>
                        <w:bottom w:val="none" w:sz="0" w:space="0" w:color="auto"/>
                        <w:right w:val="none" w:sz="0" w:space="0" w:color="auto"/>
                      </w:divBdr>
                    </w:div>
                    <w:div w:id="768157111">
                      <w:marLeft w:val="0"/>
                      <w:marRight w:val="0"/>
                      <w:marTop w:val="0"/>
                      <w:marBottom w:val="0"/>
                      <w:divBdr>
                        <w:top w:val="none" w:sz="0" w:space="0" w:color="auto"/>
                        <w:left w:val="none" w:sz="0" w:space="0" w:color="auto"/>
                        <w:bottom w:val="none" w:sz="0" w:space="0" w:color="auto"/>
                        <w:right w:val="none" w:sz="0" w:space="0" w:color="auto"/>
                      </w:divBdr>
                    </w:div>
                    <w:div w:id="1099982251">
                      <w:marLeft w:val="0"/>
                      <w:marRight w:val="0"/>
                      <w:marTop w:val="0"/>
                      <w:marBottom w:val="0"/>
                      <w:divBdr>
                        <w:top w:val="none" w:sz="0" w:space="0" w:color="auto"/>
                        <w:left w:val="none" w:sz="0" w:space="0" w:color="auto"/>
                        <w:bottom w:val="none" w:sz="0" w:space="0" w:color="auto"/>
                        <w:right w:val="none" w:sz="0" w:space="0" w:color="auto"/>
                      </w:divBdr>
                    </w:div>
                    <w:div w:id="1178352620">
                      <w:marLeft w:val="0"/>
                      <w:marRight w:val="0"/>
                      <w:marTop w:val="0"/>
                      <w:marBottom w:val="0"/>
                      <w:divBdr>
                        <w:top w:val="none" w:sz="0" w:space="0" w:color="auto"/>
                        <w:left w:val="none" w:sz="0" w:space="0" w:color="auto"/>
                        <w:bottom w:val="none" w:sz="0" w:space="0" w:color="auto"/>
                        <w:right w:val="none" w:sz="0" w:space="0" w:color="auto"/>
                      </w:divBdr>
                    </w:div>
                    <w:div w:id="18529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5502">
          <w:marLeft w:val="0"/>
          <w:marRight w:val="0"/>
          <w:marTop w:val="0"/>
          <w:marBottom w:val="0"/>
          <w:divBdr>
            <w:top w:val="none" w:sz="0" w:space="0" w:color="auto"/>
            <w:left w:val="none" w:sz="0" w:space="0" w:color="auto"/>
            <w:bottom w:val="none" w:sz="0" w:space="0" w:color="auto"/>
            <w:right w:val="none" w:sz="0" w:space="0" w:color="auto"/>
          </w:divBdr>
          <w:divsChild>
            <w:div w:id="25116638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26557608">
                  <w:marLeft w:val="0"/>
                  <w:marRight w:val="0"/>
                  <w:marTop w:val="0"/>
                  <w:marBottom w:val="0"/>
                  <w:divBdr>
                    <w:top w:val="none" w:sz="0" w:space="0" w:color="auto"/>
                    <w:left w:val="none" w:sz="0" w:space="0" w:color="auto"/>
                    <w:bottom w:val="none" w:sz="0" w:space="0" w:color="auto"/>
                    <w:right w:val="none" w:sz="0" w:space="0" w:color="auto"/>
                  </w:divBdr>
                  <w:divsChild>
                    <w:div w:id="199170106">
                      <w:marLeft w:val="0"/>
                      <w:marRight w:val="0"/>
                      <w:marTop w:val="0"/>
                      <w:marBottom w:val="0"/>
                      <w:divBdr>
                        <w:top w:val="none" w:sz="0" w:space="0" w:color="auto"/>
                        <w:left w:val="none" w:sz="0" w:space="0" w:color="auto"/>
                        <w:bottom w:val="none" w:sz="0" w:space="0" w:color="auto"/>
                        <w:right w:val="none" w:sz="0" w:space="0" w:color="auto"/>
                      </w:divBdr>
                    </w:div>
                    <w:div w:id="330571879">
                      <w:marLeft w:val="0"/>
                      <w:marRight w:val="0"/>
                      <w:marTop w:val="0"/>
                      <w:marBottom w:val="0"/>
                      <w:divBdr>
                        <w:top w:val="none" w:sz="0" w:space="0" w:color="auto"/>
                        <w:left w:val="none" w:sz="0" w:space="0" w:color="auto"/>
                        <w:bottom w:val="none" w:sz="0" w:space="0" w:color="auto"/>
                        <w:right w:val="none" w:sz="0" w:space="0" w:color="auto"/>
                      </w:divBdr>
                    </w:div>
                    <w:div w:id="393309933">
                      <w:marLeft w:val="0"/>
                      <w:marRight w:val="0"/>
                      <w:marTop w:val="0"/>
                      <w:marBottom w:val="0"/>
                      <w:divBdr>
                        <w:top w:val="none" w:sz="0" w:space="0" w:color="auto"/>
                        <w:left w:val="none" w:sz="0" w:space="0" w:color="auto"/>
                        <w:bottom w:val="none" w:sz="0" w:space="0" w:color="auto"/>
                        <w:right w:val="none" w:sz="0" w:space="0" w:color="auto"/>
                      </w:divBdr>
                    </w:div>
                    <w:div w:id="443500000">
                      <w:marLeft w:val="0"/>
                      <w:marRight w:val="0"/>
                      <w:marTop w:val="0"/>
                      <w:marBottom w:val="0"/>
                      <w:divBdr>
                        <w:top w:val="none" w:sz="0" w:space="0" w:color="auto"/>
                        <w:left w:val="none" w:sz="0" w:space="0" w:color="auto"/>
                        <w:bottom w:val="none" w:sz="0" w:space="0" w:color="auto"/>
                        <w:right w:val="none" w:sz="0" w:space="0" w:color="auto"/>
                      </w:divBdr>
                    </w:div>
                    <w:div w:id="638076158">
                      <w:marLeft w:val="0"/>
                      <w:marRight w:val="0"/>
                      <w:marTop w:val="0"/>
                      <w:marBottom w:val="0"/>
                      <w:divBdr>
                        <w:top w:val="none" w:sz="0" w:space="0" w:color="auto"/>
                        <w:left w:val="none" w:sz="0" w:space="0" w:color="auto"/>
                        <w:bottom w:val="none" w:sz="0" w:space="0" w:color="auto"/>
                        <w:right w:val="none" w:sz="0" w:space="0" w:color="auto"/>
                      </w:divBdr>
                    </w:div>
                    <w:div w:id="731274757">
                      <w:marLeft w:val="0"/>
                      <w:marRight w:val="0"/>
                      <w:marTop w:val="0"/>
                      <w:marBottom w:val="0"/>
                      <w:divBdr>
                        <w:top w:val="none" w:sz="0" w:space="0" w:color="auto"/>
                        <w:left w:val="none" w:sz="0" w:space="0" w:color="auto"/>
                        <w:bottom w:val="none" w:sz="0" w:space="0" w:color="auto"/>
                        <w:right w:val="none" w:sz="0" w:space="0" w:color="auto"/>
                      </w:divBdr>
                    </w:div>
                    <w:div w:id="1042482454">
                      <w:marLeft w:val="0"/>
                      <w:marRight w:val="0"/>
                      <w:marTop w:val="0"/>
                      <w:marBottom w:val="0"/>
                      <w:divBdr>
                        <w:top w:val="none" w:sz="0" w:space="0" w:color="auto"/>
                        <w:left w:val="none" w:sz="0" w:space="0" w:color="auto"/>
                        <w:bottom w:val="none" w:sz="0" w:space="0" w:color="auto"/>
                        <w:right w:val="none" w:sz="0" w:space="0" w:color="auto"/>
                      </w:divBdr>
                    </w:div>
                    <w:div w:id="1731920165">
                      <w:marLeft w:val="0"/>
                      <w:marRight w:val="0"/>
                      <w:marTop w:val="0"/>
                      <w:marBottom w:val="0"/>
                      <w:divBdr>
                        <w:top w:val="none" w:sz="0" w:space="0" w:color="auto"/>
                        <w:left w:val="none" w:sz="0" w:space="0" w:color="auto"/>
                        <w:bottom w:val="none" w:sz="0" w:space="0" w:color="auto"/>
                        <w:right w:val="none" w:sz="0" w:space="0" w:color="auto"/>
                      </w:divBdr>
                    </w:div>
                    <w:div w:id="1994016998">
                      <w:marLeft w:val="0"/>
                      <w:marRight w:val="0"/>
                      <w:marTop w:val="0"/>
                      <w:marBottom w:val="0"/>
                      <w:divBdr>
                        <w:top w:val="none" w:sz="0" w:space="0" w:color="auto"/>
                        <w:left w:val="none" w:sz="0" w:space="0" w:color="auto"/>
                        <w:bottom w:val="none" w:sz="0" w:space="0" w:color="auto"/>
                        <w:right w:val="none" w:sz="0" w:space="0" w:color="auto"/>
                      </w:divBdr>
                    </w:div>
                    <w:div w:id="2106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13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77225778">
                  <w:marLeft w:val="0"/>
                  <w:marRight w:val="0"/>
                  <w:marTop w:val="0"/>
                  <w:marBottom w:val="0"/>
                  <w:divBdr>
                    <w:top w:val="none" w:sz="0" w:space="0" w:color="auto"/>
                    <w:left w:val="none" w:sz="0" w:space="0" w:color="auto"/>
                    <w:bottom w:val="none" w:sz="0" w:space="0" w:color="auto"/>
                    <w:right w:val="none" w:sz="0" w:space="0" w:color="auto"/>
                  </w:divBdr>
                  <w:divsChild>
                    <w:div w:id="907570505">
                      <w:marLeft w:val="0"/>
                      <w:marRight w:val="0"/>
                      <w:marTop w:val="0"/>
                      <w:marBottom w:val="0"/>
                      <w:divBdr>
                        <w:top w:val="none" w:sz="0" w:space="0" w:color="auto"/>
                        <w:left w:val="none" w:sz="0" w:space="0" w:color="auto"/>
                        <w:bottom w:val="none" w:sz="0" w:space="0" w:color="auto"/>
                        <w:right w:val="none" w:sz="0" w:space="0" w:color="auto"/>
                      </w:divBdr>
                    </w:div>
                    <w:div w:id="21047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1491">
      <w:bodyDiv w:val="1"/>
      <w:marLeft w:val="0"/>
      <w:marRight w:val="0"/>
      <w:marTop w:val="0"/>
      <w:marBottom w:val="0"/>
      <w:divBdr>
        <w:top w:val="none" w:sz="0" w:space="0" w:color="auto"/>
        <w:left w:val="none" w:sz="0" w:space="0" w:color="auto"/>
        <w:bottom w:val="none" w:sz="0" w:space="0" w:color="auto"/>
        <w:right w:val="none" w:sz="0" w:space="0" w:color="auto"/>
      </w:divBdr>
      <w:divsChild>
        <w:div w:id="74599304">
          <w:marLeft w:val="0"/>
          <w:marRight w:val="0"/>
          <w:marTop w:val="0"/>
          <w:marBottom w:val="0"/>
          <w:divBdr>
            <w:top w:val="none" w:sz="0" w:space="0" w:color="auto"/>
            <w:left w:val="none" w:sz="0" w:space="0" w:color="auto"/>
            <w:bottom w:val="none" w:sz="0" w:space="0" w:color="auto"/>
            <w:right w:val="none" w:sz="0" w:space="0" w:color="auto"/>
          </w:divBdr>
        </w:div>
        <w:div w:id="750544596">
          <w:marLeft w:val="0"/>
          <w:marRight w:val="0"/>
          <w:marTop w:val="0"/>
          <w:marBottom w:val="0"/>
          <w:divBdr>
            <w:top w:val="none" w:sz="0" w:space="0" w:color="auto"/>
            <w:left w:val="none" w:sz="0" w:space="0" w:color="auto"/>
            <w:bottom w:val="none" w:sz="0" w:space="0" w:color="auto"/>
            <w:right w:val="none" w:sz="0" w:space="0" w:color="auto"/>
          </w:divBdr>
        </w:div>
        <w:div w:id="1607419258">
          <w:marLeft w:val="0"/>
          <w:marRight w:val="0"/>
          <w:marTop w:val="0"/>
          <w:marBottom w:val="0"/>
          <w:divBdr>
            <w:top w:val="none" w:sz="0" w:space="0" w:color="auto"/>
            <w:left w:val="none" w:sz="0" w:space="0" w:color="auto"/>
            <w:bottom w:val="none" w:sz="0" w:space="0" w:color="auto"/>
            <w:right w:val="none" w:sz="0" w:space="0" w:color="auto"/>
          </w:divBdr>
        </w:div>
        <w:div w:id="1843163116">
          <w:marLeft w:val="0"/>
          <w:marRight w:val="0"/>
          <w:marTop w:val="0"/>
          <w:marBottom w:val="0"/>
          <w:divBdr>
            <w:top w:val="none" w:sz="0" w:space="0" w:color="auto"/>
            <w:left w:val="none" w:sz="0" w:space="0" w:color="auto"/>
            <w:bottom w:val="none" w:sz="0" w:space="0" w:color="auto"/>
            <w:right w:val="none" w:sz="0" w:space="0" w:color="auto"/>
          </w:divBdr>
        </w:div>
        <w:div w:id="1915430194">
          <w:marLeft w:val="0"/>
          <w:marRight w:val="0"/>
          <w:marTop w:val="0"/>
          <w:marBottom w:val="0"/>
          <w:divBdr>
            <w:top w:val="none" w:sz="0" w:space="0" w:color="auto"/>
            <w:left w:val="none" w:sz="0" w:space="0" w:color="auto"/>
            <w:bottom w:val="none" w:sz="0" w:space="0" w:color="auto"/>
            <w:right w:val="none" w:sz="0" w:space="0" w:color="auto"/>
          </w:divBdr>
        </w:div>
        <w:div w:id="1971207369">
          <w:marLeft w:val="0"/>
          <w:marRight w:val="0"/>
          <w:marTop w:val="0"/>
          <w:marBottom w:val="0"/>
          <w:divBdr>
            <w:top w:val="none" w:sz="0" w:space="0" w:color="auto"/>
            <w:left w:val="none" w:sz="0" w:space="0" w:color="auto"/>
            <w:bottom w:val="none" w:sz="0" w:space="0" w:color="auto"/>
            <w:right w:val="none" w:sz="0" w:space="0" w:color="auto"/>
          </w:divBdr>
        </w:div>
      </w:divsChild>
    </w:div>
    <w:div w:id="2014212905">
      <w:bodyDiv w:val="1"/>
      <w:marLeft w:val="52"/>
      <w:marRight w:val="52"/>
      <w:marTop w:val="52"/>
      <w:marBottom w:val="13"/>
      <w:divBdr>
        <w:top w:val="none" w:sz="0" w:space="0" w:color="auto"/>
        <w:left w:val="none" w:sz="0" w:space="0" w:color="auto"/>
        <w:bottom w:val="none" w:sz="0" w:space="0" w:color="auto"/>
        <w:right w:val="none" w:sz="0" w:space="0" w:color="auto"/>
      </w:divBdr>
      <w:divsChild>
        <w:div w:id="666634056">
          <w:marLeft w:val="0"/>
          <w:marRight w:val="0"/>
          <w:marTop w:val="0"/>
          <w:marBottom w:val="0"/>
          <w:divBdr>
            <w:top w:val="none" w:sz="0" w:space="0" w:color="auto"/>
            <w:left w:val="none" w:sz="0" w:space="0" w:color="auto"/>
            <w:bottom w:val="none" w:sz="0" w:space="0" w:color="auto"/>
            <w:right w:val="none" w:sz="0" w:space="0" w:color="auto"/>
          </w:divBdr>
        </w:div>
        <w:div w:id="982153559">
          <w:marLeft w:val="0"/>
          <w:marRight w:val="0"/>
          <w:marTop w:val="0"/>
          <w:marBottom w:val="0"/>
          <w:divBdr>
            <w:top w:val="none" w:sz="0" w:space="0" w:color="auto"/>
            <w:left w:val="none" w:sz="0" w:space="0" w:color="auto"/>
            <w:bottom w:val="none" w:sz="0" w:space="0" w:color="auto"/>
            <w:right w:val="none" w:sz="0" w:space="0" w:color="auto"/>
          </w:divBdr>
        </w:div>
        <w:div w:id="1276903761">
          <w:marLeft w:val="0"/>
          <w:marRight w:val="0"/>
          <w:marTop w:val="0"/>
          <w:marBottom w:val="0"/>
          <w:divBdr>
            <w:top w:val="none" w:sz="0" w:space="0" w:color="auto"/>
            <w:left w:val="none" w:sz="0" w:space="0" w:color="auto"/>
            <w:bottom w:val="none" w:sz="0" w:space="0" w:color="auto"/>
            <w:right w:val="none" w:sz="0" w:space="0" w:color="auto"/>
          </w:divBdr>
        </w:div>
        <w:div w:id="1513450605">
          <w:marLeft w:val="0"/>
          <w:marRight w:val="0"/>
          <w:marTop w:val="0"/>
          <w:marBottom w:val="0"/>
          <w:divBdr>
            <w:top w:val="none" w:sz="0" w:space="0" w:color="auto"/>
            <w:left w:val="none" w:sz="0" w:space="0" w:color="auto"/>
            <w:bottom w:val="none" w:sz="0" w:space="0" w:color="auto"/>
            <w:right w:val="none" w:sz="0" w:space="0" w:color="auto"/>
          </w:divBdr>
        </w:div>
        <w:div w:id="2051028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ex-maroc@intrace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tex-maroc@intrac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ex-maroc@intracen.org" TargetMode="External"/><Relationship Id="rId5" Type="http://schemas.openxmlformats.org/officeDocument/2006/relationships/webSettings" Target="webSettings.xml"/><Relationship Id="rId15" Type="http://schemas.openxmlformats.org/officeDocument/2006/relationships/hyperlink" Target="mailto:gtex-maroc@intracen.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9243B-2790-4BFF-A843-E82792CF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9</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Zidane Hamza</cp:lastModifiedBy>
  <cp:revision>10</cp:revision>
  <cp:lastPrinted>2010-04-15T10:19:00Z</cp:lastPrinted>
  <dcterms:created xsi:type="dcterms:W3CDTF">2018-12-07T14:52:00Z</dcterms:created>
  <dcterms:modified xsi:type="dcterms:W3CDTF">2019-01-14T13:55:00Z</dcterms:modified>
</cp:coreProperties>
</file>